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CellMar>
          <w:top w:w="28" w:type="dxa"/>
          <w:bottom w:w="45" w:type="dxa"/>
        </w:tblCellMar>
        <w:tblLook w:val="04A0" w:firstRow="1" w:lastRow="0" w:firstColumn="1" w:lastColumn="0" w:noHBand="0" w:noVBand="1"/>
      </w:tblPr>
      <w:tblGrid>
        <w:gridCol w:w="3355"/>
        <w:gridCol w:w="1251"/>
        <w:gridCol w:w="1316"/>
        <w:gridCol w:w="2030"/>
        <w:gridCol w:w="6932"/>
      </w:tblGrid>
      <w:tr w:rsidR="00D70FC1" w:rsidRPr="006B7CC6" w14:paraId="67AC8A54" w14:textId="77777777" w:rsidTr="00792CAA">
        <w:trPr>
          <w:trHeight w:val="253"/>
          <w:tblHeader/>
        </w:trPr>
        <w:tc>
          <w:tcPr>
            <w:tcW w:w="3355" w:type="dxa"/>
            <w:tcBorders>
              <w:top w:val="single" w:sz="4" w:space="0" w:color="auto"/>
              <w:left w:val="nil"/>
              <w:bottom w:val="single" w:sz="6" w:space="0" w:color="auto"/>
              <w:right w:val="nil"/>
            </w:tcBorders>
          </w:tcPr>
          <w:p w14:paraId="7F5D0B02" w14:textId="77777777" w:rsidR="00D70FC1" w:rsidRPr="006B7CC6" w:rsidRDefault="00D70FC1" w:rsidP="004959D6">
            <w:pPr>
              <w:spacing w:after="0"/>
              <w:rPr>
                <w:rFonts w:cs="Arial"/>
                <w:b/>
                <w:lang w:val="en-GB" w:eastAsia="de-CH"/>
              </w:rPr>
            </w:pPr>
            <w:r w:rsidRPr="006B7CC6">
              <w:rPr>
                <w:rFonts w:cs="Arial"/>
                <w:b/>
                <w:lang w:val="en-GB" w:eastAsia="de-CH"/>
              </w:rPr>
              <w:t>Risk</w:t>
            </w:r>
          </w:p>
        </w:tc>
        <w:tc>
          <w:tcPr>
            <w:tcW w:w="1251" w:type="dxa"/>
            <w:tcBorders>
              <w:top w:val="single" w:sz="4" w:space="0" w:color="auto"/>
              <w:left w:val="nil"/>
              <w:bottom w:val="single" w:sz="6" w:space="0" w:color="auto"/>
              <w:right w:val="nil"/>
            </w:tcBorders>
            <w:hideMark/>
          </w:tcPr>
          <w:p w14:paraId="2F7C40FE" w14:textId="77777777" w:rsidR="00D70FC1" w:rsidRPr="006B7CC6" w:rsidRDefault="00D70FC1" w:rsidP="004959D6">
            <w:pPr>
              <w:spacing w:after="0"/>
              <w:rPr>
                <w:rFonts w:eastAsia="Calibri" w:cs="Arial"/>
                <w:b/>
                <w:bCs/>
                <w:lang w:val="en-GB" w:eastAsia="de-CH"/>
              </w:rPr>
            </w:pPr>
            <w:r w:rsidRPr="006B7CC6">
              <w:rPr>
                <w:rFonts w:eastAsia="Calibri" w:cs="Arial"/>
                <w:b/>
                <w:bCs/>
                <w:lang w:val="en-GB" w:eastAsia="de-CH"/>
              </w:rPr>
              <w:t>Impact</w:t>
            </w:r>
            <w:r w:rsidRPr="006B7CC6">
              <w:rPr>
                <w:rFonts w:cs="Arial"/>
                <w:lang w:val="en-GB"/>
              </w:rPr>
              <w:br/>
            </w:r>
            <w:r w:rsidRPr="006B7CC6">
              <w:rPr>
                <w:rFonts w:eastAsia="Calibri" w:cs="Arial"/>
                <w:lang w:val="en-GB" w:eastAsia="de-CH"/>
              </w:rPr>
              <w:t>[1 – 5]</w:t>
            </w:r>
          </w:p>
        </w:tc>
        <w:tc>
          <w:tcPr>
            <w:tcW w:w="1316" w:type="dxa"/>
            <w:tcBorders>
              <w:top w:val="single" w:sz="4" w:space="0" w:color="auto"/>
              <w:left w:val="nil"/>
              <w:bottom w:val="single" w:sz="6" w:space="0" w:color="auto"/>
              <w:right w:val="nil"/>
            </w:tcBorders>
            <w:hideMark/>
          </w:tcPr>
          <w:p w14:paraId="4CD60E17" w14:textId="77777777" w:rsidR="00D70FC1" w:rsidRPr="006B7CC6" w:rsidRDefault="00D70FC1" w:rsidP="004959D6">
            <w:pPr>
              <w:spacing w:after="0"/>
              <w:rPr>
                <w:rFonts w:eastAsia="Calibri" w:cs="Arial"/>
                <w:b/>
                <w:bCs/>
                <w:lang w:val="en-GB" w:eastAsia="de-CH"/>
              </w:rPr>
            </w:pPr>
            <w:r w:rsidRPr="006B7CC6">
              <w:rPr>
                <w:rFonts w:eastAsia="Calibri" w:cs="Arial"/>
                <w:b/>
                <w:bCs/>
                <w:lang w:val="en-GB" w:eastAsia="de-CH"/>
              </w:rPr>
              <w:t xml:space="preserve">Likelihood </w:t>
            </w:r>
            <w:r w:rsidRPr="006B7CC6">
              <w:rPr>
                <w:rFonts w:cs="Arial"/>
                <w:lang w:val="en-GB"/>
              </w:rPr>
              <w:br/>
            </w:r>
            <w:r w:rsidRPr="006B7CC6">
              <w:rPr>
                <w:rFonts w:eastAsia="Calibri" w:cs="Arial"/>
                <w:lang w:val="en-GB" w:eastAsia="de-CH"/>
              </w:rPr>
              <w:t>[1 – 5]</w:t>
            </w:r>
          </w:p>
        </w:tc>
        <w:tc>
          <w:tcPr>
            <w:tcW w:w="2030" w:type="dxa"/>
            <w:tcBorders>
              <w:top w:val="single" w:sz="4" w:space="0" w:color="auto"/>
              <w:left w:val="nil"/>
              <w:bottom w:val="single" w:sz="6" w:space="0" w:color="auto"/>
              <w:right w:val="nil"/>
            </w:tcBorders>
          </w:tcPr>
          <w:p w14:paraId="4AE75C93" w14:textId="77777777" w:rsidR="00D70FC1" w:rsidRPr="006B7CC6" w:rsidRDefault="00D70FC1" w:rsidP="004959D6">
            <w:pPr>
              <w:spacing w:after="0"/>
              <w:rPr>
                <w:rFonts w:eastAsia="Calibri" w:cs="Arial"/>
                <w:b/>
                <w:bCs/>
                <w:lang w:val="en-GB" w:eastAsia="de-CH"/>
              </w:rPr>
            </w:pPr>
            <w:r w:rsidRPr="006B7CC6">
              <w:rPr>
                <w:rFonts w:eastAsia="Calibri" w:cs="Arial"/>
                <w:b/>
                <w:bCs/>
                <w:lang w:val="en-GB" w:eastAsia="de-CH"/>
              </w:rPr>
              <w:t>Risk level</w:t>
            </w:r>
          </w:p>
        </w:tc>
        <w:tc>
          <w:tcPr>
            <w:tcW w:w="6932" w:type="dxa"/>
            <w:tcBorders>
              <w:top w:val="single" w:sz="4" w:space="0" w:color="auto"/>
              <w:left w:val="nil"/>
              <w:bottom w:val="single" w:sz="6" w:space="0" w:color="auto"/>
              <w:right w:val="nil"/>
            </w:tcBorders>
            <w:hideMark/>
          </w:tcPr>
          <w:p w14:paraId="28D75389" w14:textId="77777777" w:rsidR="00D70FC1" w:rsidRPr="006B7CC6" w:rsidRDefault="00D70FC1" w:rsidP="004959D6">
            <w:pPr>
              <w:spacing w:after="0"/>
              <w:ind w:right="491"/>
              <w:rPr>
                <w:rFonts w:eastAsia="Calibri" w:cs="Arial"/>
                <w:b/>
                <w:bCs/>
                <w:lang w:val="en-GB" w:eastAsia="de-CH"/>
              </w:rPr>
            </w:pPr>
            <w:r w:rsidRPr="00A9698D">
              <w:rPr>
                <w:rFonts w:eastAsia="Calibri" w:cs="Arial"/>
                <w:b/>
                <w:szCs w:val="20"/>
                <w:lang w:val="en-GB" w:eastAsia="de-CH"/>
              </w:rPr>
              <w:t>Mitigation measure</w:t>
            </w:r>
            <w:r>
              <w:rPr>
                <w:rFonts w:eastAsia="Calibri" w:cs="Arial"/>
                <w:b/>
                <w:szCs w:val="20"/>
                <w:lang w:val="en-GB" w:eastAsia="de-CH"/>
              </w:rPr>
              <w:t>(</w:t>
            </w:r>
            <w:r w:rsidRPr="00A9698D">
              <w:rPr>
                <w:rFonts w:eastAsia="Calibri" w:cs="Arial"/>
                <w:b/>
                <w:szCs w:val="20"/>
                <w:lang w:val="en-GB" w:eastAsia="de-CH"/>
              </w:rPr>
              <w:t>s</w:t>
            </w:r>
            <w:r>
              <w:rPr>
                <w:rFonts w:eastAsia="Calibri" w:cs="Arial"/>
                <w:b/>
                <w:szCs w:val="20"/>
                <w:lang w:val="en-GB" w:eastAsia="de-CH"/>
              </w:rPr>
              <w:t xml:space="preserve">) </w:t>
            </w:r>
            <w:r w:rsidRPr="002E5ABB">
              <w:rPr>
                <w:rFonts w:eastAsia="Calibri" w:cs="Arial"/>
                <w:szCs w:val="20"/>
                <w:lang w:val="en-GB" w:eastAsia="de-CH"/>
              </w:rPr>
              <w:t>(including information on status of implementation and responsibilities)</w:t>
            </w:r>
          </w:p>
        </w:tc>
      </w:tr>
      <w:tr w:rsidR="00D70FC1" w:rsidRPr="006B7CC6" w14:paraId="24F45FA4" w14:textId="77777777" w:rsidTr="00792CAA">
        <w:tc>
          <w:tcPr>
            <w:tcW w:w="3355" w:type="dxa"/>
            <w:tcBorders>
              <w:top w:val="single" w:sz="6" w:space="0" w:color="auto"/>
              <w:left w:val="nil"/>
              <w:bottom w:val="dashed" w:sz="4" w:space="0" w:color="auto"/>
              <w:right w:val="nil"/>
            </w:tcBorders>
            <w:hideMark/>
          </w:tcPr>
          <w:p w14:paraId="6143B75E" w14:textId="77777777" w:rsidR="00D70FC1" w:rsidRPr="006B7CC6" w:rsidRDefault="00D70FC1" w:rsidP="004959D6">
            <w:pPr>
              <w:spacing w:after="0"/>
              <w:jc w:val="both"/>
              <w:rPr>
                <w:rFonts w:eastAsia="Calibri" w:cs="Arial"/>
                <w:sz w:val="18"/>
                <w:szCs w:val="18"/>
                <w:lang w:val="en-GB" w:eastAsia="de-CH"/>
              </w:rPr>
            </w:pPr>
            <w:r w:rsidRPr="006B7CC6">
              <w:rPr>
                <w:rFonts w:eastAsia="Calibri" w:cs="Arial"/>
                <w:sz w:val="18"/>
                <w:szCs w:val="18"/>
                <w:lang w:val="en-GB" w:eastAsia="de-CH"/>
              </w:rPr>
              <w:t>Risk that the activities do not meet the needs of the target groups</w:t>
            </w:r>
          </w:p>
        </w:tc>
        <w:tc>
          <w:tcPr>
            <w:tcW w:w="1251" w:type="dxa"/>
            <w:tcBorders>
              <w:top w:val="single" w:sz="6" w:space="0" w:color="auto"/>
              <w:left w:val="nil"/>
              <w:bottom w:val="dashed" w:sz="4" w:space="0" w:color="auto"/>
              <w:right w:val="nil"/>
            </w:tcBorders>
          </w:tcPr>
          <w:p w14:paraId="7DDE7ED7"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4</w:t>
            </w:r>
          </w:p>
        </w:tc>
        <w:tc>
          <w:tcPr>
            <w:tcW w:w="1316" w:type="dxa"/>
            <w:tcBorders>
              <w:top w:val="single" w:sz="6" w:space="0" w:color="auto"/>
              <w:left w:val="nil"/>
              <w:bottom w:val="dashed" w:sz="4" w:space="0" w:color="auto"/>
              <w:right w:val="nil"/>
            </w:tcBorders>
          </w:tcPr>
          <w:p w14:paraId="5BB4FB4F"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2</w:t>
            </w:r>
          </w:p>
        </w:tc>
        <w:tc>
          <w:tcPr>
            <w:tcW w:w="2030" w:type="dxa"/>
            <w:tcBorders>
              <w:top w:val="single" w:sz="6" w:space="0" w:color="auto"/>
              <w:left w:val="nil"/>
              <w:bottom w:val="dashed" w:sz="4" w:space="0" w:color="auto"/>
              <w:right w:val="nil"/>
            </w:tcBorders>
          </w:tcPr>
          <w:p w14:paraId="4919F39E"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805583651"/>
                <w:placeholder>
                  <w:docPart w:val="7734BB16E6574D53BAD9245ABAB7C00A"/>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6B7CC6">
                  <w:rPr>
                    <w:rFonts w:eastAsia="Calibri" w:cs="Arial"/>
                    <w:sz w:val="20"/>
                    <w:szCs w:val="20"/>
                    <w:lang w:val="en-GB"/>
                  </w:rPr>
                  <w:t>Low-Medium</w:t>
                </w:r>
              </w:sdtContent>
            </w:sdt>
          </w:p>
        </w:tc>
        <w:tc>
          <w:tcPr>
            <w:tcW w:w="6932" w:type="dxa"/>
            <w:tcBorders>
              <w:top w:val="single" w:sz="6" w:space="0" w:color="auto"/>
              <w:left w:val="nil"/>
              <w:bottom w:val="dashed" w:sz="4" w:space="0" w:color="auto"/>
              <w:right w:val="nil"/>
            </w:tcBorders>
          </w:tcPr>
          <w:p w14:paraId="03A3E026" w14:textId="77777777" w:rsidR="00D70FC1"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Mapping of the needs of target groups (</w:t>
            </w:r>
            <w:proofErr w:type="gramStart"/>
            <w:r w:rsidRPr="0004404C">
              <w:rPr>
                <w:rFonts w:cs="Arial"/>
                <w:color w:val="000000" w:themeColor="text1"/>
                <w:sz w:val="18"/>
                <w:szCs w:val="18"/>
                <w:lang w:val="en-GB" w:eastAsia="de-CH"/>
              </w:rPr>
              <w:t>on the basis of</w:t>
            </w:r>
            <w:proofErr w:type="gramEnd"/>
            <w:r w:rsidRPr="0004404C">
              <w:rPr>
                <w:rFonts w:cs="Arial"/>
                <w:color w:val="000000" w:themeColor="text1"/>
                <w:sz w:val="18"/>
                <w:szCs w:val="18"/>
                <w:lang w:val="en-GB" w:eastAsia="de-CH"/>
              </w:rPr>
              <w:t xml:space="preserve"> relevant recent studies, surveys etc).</w:t>
            </w:r>
          </w:p>
          <w:p w14:paraId="40DACCEC" w14:textId="77777777" w:rsidR="00D70FC1" w:rsidRPr="0004404C" w:rsidRDefault="00D70FC1" w:rsidP="004959D6">
            <w:pPr>
              <w:spacing w:after="0" w:line="288" w:lineRule="auto"/>
              <w:ind w:right="491"/>
              <w:jc w:val="both"/>
              <w:rPr>
                <w:rFonts w:cs="Arial"/>
                <w:color w:val="000000"/>
                <w:sz w:val="18"/>
                <w:szCs w:val="18"/>
                <w:lang w:val="en-GB" w:eastAsia="de-CH"/>
              </w:rPr>
            </w:pPr>
            <w:r w:rsidRPr="00F40BF0">
              <w:rPr>
                <w:rFonts w:cs="Arial"/>
                <w:color w:val="156082" w:themeColor="accent1"/>
                <w:sz w:val="18"/>
                <w:szCs w:val="18"/>
                <w:lang w:val="en-GB" w:eastAsia="de-CH"/>
              </w:rPr>
              <w:t>One focus in 2024 was the mapping of activities and studies previously carried out in Estonia by various stakeholders. This will be continued in 2025.</w:t>
            </w:r>
          </w:p>
        </w:tc>
      </w:tr>
      <w:tr w:rsidR="00D70FC1" w:rsidRPr="006B7CC6" w14:paraId="7FBEE152" w14:textId="77777777" w:rsidTr="00792CAA">
        <w:tc>
          <w:tcPr>
            <w:tcW w:w="3355" w:type="dxa"/>
            <w:tcBorders>
              <w:top w:val="dashed" w:sz="4" w:space="0" w:color="auto"/>
              <w:bottom w:val="dashed" w:sz="4" w:space="0" w:color="auto"/>
            </w:tcBorders>
          </w:tcPr>
          <w:p w14:paraId="4E05CB41"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Risk that information about the S</w:t>
            </w:r>
            <w:r>
              <w:rPr>
                <w:rFonts w:cs="Arial"/>
                <w:sz w:val="18"/>
                <w:szCs w:val="18"/>
                <w:lang w:val="en-GB" w:eastAsia="de-CH"/>
              </w:rPr>
              <w:t>SIP</w:t>
            </w:r>
            <w:r w:rsidRPr="006B7CC6">
              <w:rPr>
                <w:rFonts w:cs="Arial"/>
                <w:sz w:val="18"/>
                <w:szCs w:val="18"/>
                <w:lang w:val="en-GB" w:eastAsia="de-CH"/>
              </w:rPr>
              <w:t xml:space="preserve"> activities does not reach intended target groups</w:t>
            </w:r>
          </w:p>
        </w:tc>
        <w:tc>
          <w:tcPr>
            <w:tcW w:w="1251" w:type="dxa"/>
            <w:tcBorders>
              <w:top w:val="dashed" w:sz="4" w:space="0" w:color="auto"/>
              <w:left w:val="nil"/>
              <w:bottom w:val="dashed" w:sz="4" w:space="0" w:color="auto"/>
              <w:right w:val="nil"/>
            </w:tcBorders>
          </w:tcPr>
          <w:p w14:paraId="4F534AB0" w14:textId="77777777" w:rsidR="00D70FC1" w:rsidRPr="006B7CC6" w:rsidRDefault="00D70FC1" w:rsidP="004959D6">
            <w:pPr>
              <w:spacing w:after="0" w:line="288" w:lineRule="auto"/>
              <w:ind w:right="491"/>
              <w:jc w:val="both"/>
              <w:rPr>
                <w:rFonts w:cs="Arial"/>
                <w:color w:val="000000"/>
                <w:sz w:val="18"/>
                <w:szCs w:val="18"/>
                <w:lang w:val="en-GB" w:eastAsia="de-CH"/>
              </w:rPr>
            </w:pPr>
            <w:r w:rsidRPr="00911CF7">
              <w:rPr>
                <w:rFonts w:cs="Arial"/>
                <w:color w:val="156082" w:themeColor="accent1"/>
                <w:sz w:val="18"/>
                <w:szCs w:val="18"/>
                <w:lang w:eastAsia="de-CH"/>
              </w:rPr>
              <w:t>3</w:t>
            </w:r>
          </w:p>
        </w:tc>
        <w:tc>
          <w:tcPr>
            <w:tcW w:w="1316" w:type="dxa"/>
            <w:tcBorders>
              <w:top w:val="dashed" w:sz="4" w:space="0" w:color="auto"/>
              <w:left w:val="nil"/>
              <w:bottom w:val="dashed" w:sz="4" w:space="0" w:color="auto"/>
              <w:right w:val="nil"/>
            </w:tcBorders>
          </w:tcPr>
          <w:p w14:paraId="4965261E"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2</w:t>
            </w:r>
          </w:p>
        </w:tc>
        <w:tc>
          <w:tcPr>
            <w:tcW w:w="2030" w:type="dxa"/>
            <w:tcBorders>
              <w:top w:val="dashed" w:sz="4" w:space="0" w:color="auto"/>
              <w:left w:val="nil"/>
              <w:bottom w:val="dashed" w:sz="4" w:space="0" w:color="auto"/>
              <w:right w:val="nil"/>
            </w:tcBorders>
          </w:tcPr>
          <w:p w14:paraId="4874211E" w14:textId="0B60B934" w:rsidR="00D70FC1" w:rsidRPr="00911CF7" w:rsidRDefault="00D70FC1" w:rsidP="00911CF7">
            <w:pPr>
              <w:spacing w:after="0" w:line="288" w:lineRule="auto"/>
              <w:ind w:right="491"/>
              <w:jc w:val="both"/>
              <w:rPr>
                <w:rFonts w:eastAsia="Calibri" w:cs="Arial"/>
                <w:sz w:val="20"/>
                <w:szCs w:val="20"/>
                <w:lang w:val="en-GB"/>
              </w:rPr>
            </w:pPr>
            <w:sdt>
              <w:sdtPr>
                <w:rPr>
                  <w:rFonts w:cs="Arial"/>
                  <w:color w:val="156082" w:themeColor="accent1"/>
                  <w:sz w:val="20"/>
                  <w:szCs w:val="20"/>
                  <w:lang w:val="en-GB" w:eastAsia="de-CH"/>
                </w:rPr>
                <w:id w:val="1457683349"/>
                <w:placeholder>
                  <w:docPart w:val="775CC9CCE7C34CB8B3109D1790F44FD9"/>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00911CF7" w:rsidRPr="00911CF7">
                  <w:rPr>
                    <w:rFonts w:cs="Arial"/>
                    <w:color w:val="156082" w:themeColor="accent1"/>
                    <w:sz w:val="20"/>
                    <w:szCs w:val="20"/>
                    <w:lang w:val="en-GB" w:eastAsia="de-CH"/>
                  </w:rPr>
                  <w:t>Low-Medium</w:t>
                </w:r>
              </w:sdtContent>
            </w:sdt>
          </w:p>
        </w:tc>
        <w:tc>
          <w:tcPr>
            <w:tcW w:w="6932" w:type="dxa"/>
            <w:tcBorders>
              <w:top w:val="dashed" w:sz="4" w:space="0" w:color="auto"/>
              <w:left w:val="nil"/>
              <w:bottom w:val="dashed" w:sz="4" w:space="0" w:color="auto"/>
              <w:right w:val="nil"/>
            </w:tcBorders>
          </w:tcPr>
          <w:p w14:paraId="2A275C08" w14:textId="77777777" w:rsidR="00D70FC1"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 xml:space="preserve">Designing of a comprehensive communication plan that </w:t>
            </w:r>
            <w:proofErr w:type="gramStart"/>
            <w:r w:rsidRPr="0004404C">
              <w:rPr>
                <w:rFonts w:cs="Arial"/>
                <w:color w:val="000000" w:themeColor="text1"/>
                <w:sz w:val="18"/>
                <w:szCs w:val="18"/>
                <w:lang w:val="en-GB" w:eastAsia="de-CH"/>
              </w:rPr>
              <w:t>takes into account</w:t>
            </w:r>
            <w:proofErr w:type="gramEnd"/>
            <w:r w:rsidRPr="0004404C">
              <w:rPr>
                <w:rFonts w:cs="Arial"/>
                <w:color w:val="000000" w:themeColor="text1"/>
                <w:sz w:val="18"/>
                <w:szCs w:val="18"/>
                <w:lang w:val="en-GB" w:eastAsia="de-CH"/>
              </w:rPr>
              <w:t xml:space="preserve"> the characteristics of different target groups.</w:t>
            </w:r>
          </w:p>
          <w:p w14:paraId="51212615" w14:textId="2066B9AA" w:rsidR="00D70FC1" w:rsidRPr="00D70FC1" w:rsidRDefault="00D70FC1" w:rsidP="004959D6">
            <w:pPr>
              <w:spacing w:after="0" w:line="288" w:lineRule="auto"/>
              <w:ind w:right="491"/>
              <w:jc w:val="both"/>
              <w:rPr>
                <w:rFonts w:cs="Arial"/>
                <w:color w:val="156082" w:themeColor="accent1"/>
                <w:sz w:val="18"/>
                <w:szCs w:val="18"/>
                <w:lang w:val="en-GB" w:eastAsia="de-CH"/>
              </w:rPr>
            </w:pPr>
            <w:r w:rsidRPr="00EF55B2">
              <w:rPr>
                <w:rFonts w:cs="Arial"/>
                <w:color w:val="156082" w:themeColor="accent1"/>
                <w:sz w:val="18"/>
                <w:szCs w:val="18"/>
                <w:lang w:val="en-GB" w:eastAsia="de-CH"/>
              </w:rPr>
              <w:t>Communication activities are planned as part of the annual institutional work plans and component action plans.</w:t>
            </w:r>
            <w:r>
              <w:rPr>
                <w:rFonts w:cs="Arial"/>
                <w:color w:val="156082" w:themeColor="accent1"/>
                <w:sz w:val="18"/>
                <w:szCs w:val="18"/>
                <w:lang w:val="en-GB" w:eastAsia="de-CH"/>
              </w:rPr>
              <w:t xml:space="preserve"> C</w:t>
            </w:r>
            <w:proofErr w:type="spellStart"/>
            <w:r w:rsidRPr="00D70FC1">
              <w:rPr>
                <w:rFonts w:cs="Arial"/>
                <w:color w:val="156082" w:themeColor="accent1"/>
                <w:sz w:val="18"/>
                <w:szCs w:val="18"/>
                <w:lang w:eastAsia="de-CH"/>
              </w:rPr>
              <w:t>ommunication</w:t>
            </w:r>
            <w:proofErr w:type="spellEnd"/>
            <w:r w:rsidRPr="00D70FC1">
              <w:rPr>
                <w:rFonts w:cs="Arial"/>
                <w:color w:val="156082" w:themeColor="accent1"/>
                <w:sz w:val="18"/>
                <w:szCs w:val="18"/>
                <w:lang w:eastAsia="de-CH"/>
              </w:rPr>
              <w:t xml:space="preserve"> is an integral part of the implementers' work, and in many </w:t>
            </w:r>
            <w:proofErr w:type="gramStart"/>
            <w:r w:rsidRPr="00D70FC1">
              <w:rPr>
                <w:rFonts w:cs="Arial"/>
                <w:color w:val="156082" w:themeColor="accent1"/>
                <w:sz w:val="18"/>
                <w:szCs w:val="18"/>
                <w:lang w:eastAsia="de-CH"/>
              </w:rPr>
              <w:t>cases</w:t>
            </w:r>
            <w:proofErr w:type="gramEnd"/>
            <w:r>
              <w:rPr>
                <w:rFonts w:cs="Arial"/>
                <w:color w:val="156082" w:themeColor="accent1"/>
                <w:sz w:val="18"/>
                <w:szCs w:val="18"/>
                <w:lang w:eastAsia="de-CH"/>
              </w:rPr>
              <w:t xml:space="preserve"> </w:t>
            </w:r>
            <w:r w:rsidRPr="00D70FC1">
              <w:rPr>
                <w:rFonts w:cs="Arial"/>
                <w:color w:val="156082" w:themeColor="accent1"/>
                <w:sz w:val="18"/>
                <w:szCs w:val="18"/>
                <w:lang w:val="en-GB" w:eastAsia="de-CH"/>
              </w:rPr>
              <w:t>there are dedicated staff responsible for this.</w:t>
            </w:r>
          </w:p>
        </w:tc>
      </w:tr>
      <w:tr w:rsidR="00D70FC1" w:rsidRPr="006B7CC6" w14:paraId="259F53C8" w14:textId="77777777" w:rsidTr="00792CAA">
        <w:tc>
          <w:tcPr>
            <w:tcW w:w="3355" w:type="dxa"/>
            <w:tcBorders>
              <w:top w:val="dashed" w:sz="4" w:space="0" w:color="auto"/>
              <w:bottom w:val="dashed" w:sz="4" w:space="0" w:color="auto"/>
            </w:tcBorders>
          </w:tcPr>
          <w:p w14:paraId="58D703FE"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Lack of trained experts to provide trainings and services (updating curricula etc)</w:t>
            </w:r>
          </w:p>
        </w:tc>
        <w:tc>
          <w:tcPr>
            <w:tcW w:w="1251" w:type="dxa"/>
            <w:tcBorders>
              <w:top w:val="dashed" w:sz="4" w:space="0" w:color="auto"/>
              <w:left w:val="nil"/>
              <w:bottom w:val="dashed" w:sz="4" w:space="0" w:color="auto"/>
              <w:right w:val="nil"/>
            </w:tcBorders>
          </w:tcPr>
          <w:p w14:paraId="4BC11531"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4</w:t>
            </w:r>
          </w:p>
        </w:tc>
        <w:tc>
          <w:tcPr>
            <w:tcW w:w="1316" w:type="dxa"/>
            <w:tcBorders>
              <w:top w:val="dashed" w:sz="4" w:space="0" w:color="auto"/>
              <w:left w:val="nil"/>
              <w:bottom w:val="dashed" w:sz="4" w:space="0" w:color="auto"/>
              <w:right w:val="nil"/>
            </w:tcBorders>
          </w:tcPr>
          <w:p w14:paraId="4956E48C"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2</w:t>
            </w:r>
          </w:p>
        </w:tc>
        <w:tc>
          <w:tcPr>
            <w:tcW w:w="2030" w:type="dxa"/>
            <w:tcBorders>
              <w:top w:val="dashed" w:sz="4" w:space="0" w:color="auto"/>
              <w:left w:val="nil"/>
              <w:bottom w:val="dashed" w:sz="4" w:space="0" w:color="auto"/>
              <w:right w:val="nil"/>
            </w:tcBorders>
          </w:tcPr>
          <w:p w14:paraId="258AB058" w14:textId="77777777" w:rsidR="00D70FC1" w:rsidRPr="00346A48"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207839053"/>
                <w:placeholder>
                  <w:docPart w:val="6A441BC4AEFA4BA780263FA1AAB91DB6"/>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346A48">
                  <w:rPr>
                    <w:rFonts w:eastAsia="Calibri" w:cs="Arial"/>
                    <w:sz w:val="20"/>
                    <w:szCs w:val="20"/>
                    <w:lang w:val="en-GB"/>
                  </w:rPr>
                  <w:t>Low-Medium</w:t>
                </w:r>
              </w:sdtContent>
            </w:sdt>
          </w:p>
        </w:tc>
        <w:tc>
          <w:tcPr>
            <w:tcW w:w="6932" w:type="dxa"/>
            <w:tcBorders>
              <w:top w:val="dashed" w:sz="4" w:space="0" w:color="auto"/>
              <w:left w:val="nil"/>
              <w:bottom w:val="dashed" w:sz="4" w:space="0" w:color="auto"/>
              <w:right w:val="nil"/>
            </w:tcBorders>
          </w:tcPr>
          <w:p w14:paraId="549BDF82" w14:textId="77777777" w:rsidR="00D70FC1" w:rsidRPr="00346A48" w:rsidRDefault="00D70FC1" w:rsidP="004959D6">
            <w:pPr>
              <w:spacing w:after="0" w:line="288" w:lineRule="auto"/>
              <w:ind w:right="491"/>
              <w:jc w:val="both"/>
              <w:rPr>
                <w:rFonts w:cs="Arial"/>
                <w:color w:val="000000" w:themeColor="text1"/>
                <w:sz w:val="18"/>
                <w:szCs w:val="18"/>
                <w:lang w:val="en-GB" w:eastAsia="de-CH"/>
              </w:rPr>
            </w:pPr>
            <w:r w:rsidRPr="00346A48">
              <w:rPr>
                <w:rFonts w:cs="Arial"/>
                <w:color w:val="000000" w:themeColor="text1"/>
                <w:sz w:val="18"/>
                <w:szCs w:val="18"/>
                <w:lang w:val="en-GB" w:eastAsia="de-CH"/>
              </w:rPr>
              <w:t xml:space="preserve">Co-operation between experts and organisations, so that activities would not take place at the same time. </w:t>
            </w:r>
          </w:p>
          <w:p w14:paraId="7ADA5943" w14:textId="6DBEAB96" w:rsidR="00D70FC1" w:rsidRPr="00346A48" w:rsidRDefault="00346A48" w:rsidP="004959D6">
            <w:pPr>
              <w:spacing w:after="0" w:line="288" w:lineRule="auto"/>
              <w:ind w:right="491"/>
              <w:jc w:val="both"/>
              <w:rPr>
                <w:rFonts w:cs="Arial"/>
                <w:color w:val="156082" w:themeColor="accent1"/>
                <w:sz w:val="18"/>
                <w:szCs w:val="18"/>
                <w:lang w:val="en-GB" w:eastAsia="de-CH"/>
              </w:rPr>
            </w:pPr>
            <w:r w:rsidRPr="00346A48">
              <w:rPr>
                <w:rFonts w:cs="Arial"/>
                <w:color w:val="156082" w:themeColor="accent1"/>
                <w:sz w:val="18"/>
                <w:szCs w:val="18"/>
                <w:lang w:val="en-GB" w:eastAsia="de-CH"/>
              </w:rPr>
              <w:t>Engaging international experts when needed.</w:t>
            </w:r>
          </w:p>
        </w:tc>
      </w:tr>
      <w:tr w:rsidR="00D70FC1" w:rsidRPr="006B7CC6" w14:paraId="5229143E" w14:textId="77777777" w:rsidTr="00792CAA">
        <w:tc>
          <w:tcPr>
            <w:tcW w:w="3355" w:type="dxa"/>
            <w:tcBorders>
              <w:top w:val="dashed" w:sz="4" w:space="0" w:color="auto"/>
              <w:bottom w:val="dashed" w:sz="4" w:space="0" w:color="auto"/>
            </w:tcBorders>
          </w:tcPr>
          <w:p w14:paraId="6C5DDD9F"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 xml:space="preserve">Challenging </w:t>
            </w:r>
            <w:proofErr w:type="gramStart"/>
            <w:r w:rsidRPr="006B7CC6">
              <w:rPr>
                <w:rFonts w:cs="Arial"/>
                <w:sz w:val="18"/>
                <w:szCs w:val="18"/>
                <w:lang w:val="en-GB" w:eastAsia="de-CH"/>
              </w:rPr>
              <w:t>time-frame</w:t>
            </w:r>
            <w:proofErr w:type="gramEnd"/>
            <w:r w:rsidRPr="006B7CC6">
              <w:rPr>
                <w:rFonts w:cs="Arial"/>
                <w:sz w:val="18"/>
                <w:szCs w:val="18"/>
                <w:lang w:val="en-GB" w:eastAsia="de-CH"/>
              </w:rPr>
              <w:t xml:space="preserve"> of the support measure implementation</w:t>
            </w:r>
          </w:p>
        </w:tc>
        <w:tc>
          <w:tcPr>
            <w:tcW w:w="1251" w:type="dxa"/>
            <w:tcBorders>
              <w:top w:val="dashed" w:sz="4" w:space="0" w:color="auto"/>
              <w:left w:val="nil"/>
              <w:bottom w:val="dashed" w:sz="4" w:space="0" w:color="auto"/>
              <w:right w:val="nil"/>
            </w:tcBorders>
          </w:tcPr>
          <w:p w14:paraId="680BFEEA"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4</w:t>
            </w:r>
          </w:p>
        </w:tc>
        <w:tc>
          <w:tcPr>
            <w:tcW w:w="1316" w:type="dxa"/>
            <w:tcBorders>
              <w:top w:val="dashed" w:sz="4" w:space="0" w:color="auto"/>
              <w:left w:val="nil"/>
              <w:bottom w:val="dashed" w:sz="4" w:space="0" w:color="auto"/>
              <w:right w:val="nil"/>
            </w:tcBorders>
          </w:tcPr>
          <w:p w14:paraId="2F3F556A"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2BBC8765"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351793704"/>
                <w:placeholder>
                  <w:docPart w:val="DE3529B7BB4D45C9BF3FF13AE6CF7895"/>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6B7CC6">
                  <w:rPr>
                    <w:rFonts w:eastAsia="Calibri" w:cs="Arial"/>
                    <w:sz w:val="20"/>
                    <w:szCs w:val="20"/>
                    <w:lang w:val="en-GB"/>
                  </w:rPr>
                  <w:t>Medium-High</w:t>
                </w:r>
              </w:sdtContent>
            </w:sdt>
          </w:p>
        </w:tc>
        <w:tc>
          <w:tcPr>
            <w:tcW w:w="6932" w:type="dxa"/>
            <w:tcBorders>
              <w:top w:val="dashed" w:sz="4" w:space="0" w:color="auto"/>
              <w:left w:val="nil"/>
              <w:bottom w:val="dashed" w:sz="4" w:space="0" w:color="auto"/>
              <w:right w:val="nil"/>
            </w:tcBorders>
          </w:tcPr>
          <w:p w14:paraId="7AA2F6E5" w14:textId="77777777" w:rsidR="00D70FC1"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Consistent time-management, commitment of the support measure project team.</w:t>
            </w:r>
          </w:p>
          <w:p w14:paraId="21CD0AEE" w14:textId="6A95C4F7" w:rsidR="00D70FC1" w:rsidRPr="005862B6" w:rsidRDefault="00911CF7" w:rsidP="004959D6">
            <w:pPr>
              <w:spacing w:after="0" w:line="288" w:lineRule="auto"/>
              <w:ind w:right="491"/>
              <w:jc w:val="both"/>
              <w:rPr>
                <w:rFonts w:cs="Arial"/>
                <w:color w:val="000000" w:themeColor="text1"/>
                <w:sz w:val="18"/>
                <w:szCs w:val="18"/>
                <w:lang w:val="en-GB" w:eastAsia="de-CH"/>
              </w:rPr>
            </w:pPr>
            <w:r w:rsidRPr="00911CF7">
              <w:rPr>
                <w:rFonts w:cs="Arial"/>
                <w:color w:val="156082" w:themeColor="accent1"/>
                <w:sz w:val="18"/>
                <w:szCs w:val="18"/>
                <w:lang w:val="en-GB" w:eastAsia="de-CH"/>
              </w:rPr>
              <w:t>We aim to ensure that project teams have sufficient resources. In 2024, all involved actively contributed to this effort, so that the successful launch and implementation of thematic activities could start as soon as possible.</w:t>
            </w:r>
          </w:p>
        </w:tc>
      </w:tr>
      <w:tr w:rsidR="00D70FC1" w:rsidRPr="006B7CC6" w14:paraId="1F2C9A76" w14:textId="77777777" w:rsidTr="00792CAA">
        <w:tc>
          <w:tcPr>
            <w:tcW w:w="3355" w:type="dxa"/>
            <w:tcBorders>
              <w:top w:val="dashed" w:sz="4" w:space="0" w:color="auto"/>
              <w:bottom w:val="dashed" w:sz="4" w:space="0" w:color="auto"/>
            </w:tcBorders>
          </w:tcPr>
          <w:p w14:paraId="0CFA68D1"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Fiduciary risk</w:t>
            </w:r>
          </w:p>
        </w:tc>
        <w:tc>
          <w:tcPr>
            <w:tcW w:w="1251" w:type="dxa"/>
            <w:tcBorders>
              <w:top w:val="dashed" w:sz="4" w:space="0" w:color="auto"/>
              <w:left w:val="nil"/>
              <w:bottom w:val="dashed" w:sz="4" w:space="0" w:color="auto"/>
              <w:right w:val="nil"/>
            </w:tcBorders>
          </w:tcPr>
          <w:p w14:paraId="7D93C8AD"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2986A23D"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1</w:t>
            </w:r>
          </w:p>
        </w:tc>
        <w:tc>
          <w:tcPr>
            <w:tcW w:w="2030" w:type="dxa"/>
            <w:tcBorders>
              <w:top w:val="dashed" w:sz="4" w:space="0" w:color="auto"/>
              <w:left w:val="nil"/>
              <w:bottom w:val="dashed" w:sz="4" w:space="0" w:color="auto"/>
              <w:right w:val="nil"/>
            </w:tcBorders>
          </w:tcPr>
          <w:p w14:paraId="2D0ACEB6"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247389748"/>
                <w:placeholder>
                  <w:docPart w:val="18059DCF88F646D18430DE6B9C0F20D5"/>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6B7CC6">
                  <w:rPr>
                    <w:rFonts w:eastAsia="Calibri" w:cs="Arial"/>
                    <w:sz w:val="20"/>
                    <w:szCs w:val="20"/>
                    <w:lang w:val="en-GB"/>
                  </w:rPr>
                  <w:t>Low</w:t>
                </w:r>
              </w:sdtContent>
            </w:sdt>
          </w:p>
        </w:tc>
        <w:tc>
          <w:tcPr>
            <w:tcW w:w="6932" w:type="dxa"/>
            <w:tcBorders>
              <w:top w:val="dashed" w:sz="4" w:space="0" w:color="auto"/>
              <w:left w:val="nil"/>
              <w:bottom w:val="dashed" w:sz="4" w:space="0" w:color="auto"/>
              <w:right w:val="nil"/>
            </w:tcBorders>
          </w:tcPr>
          <w:p w14:paraId="12A8D9B6" w14:textId="77777777" w:rsidR="00D70FC1"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 xml:space="preserve">Applying of the rules and procedures of State Shared Service Centre that have been audited. </w:t>
            </w:r>
          </w:p>
          <w:p w14:paraId="72B4DA6E" w14:textId="77777777" w:rsidR="00D70FC1" w:rsidRPr="0004404C" w:rsidRDefault="00D70FC1" w:rsidP="004959D6">
            <w:pPr>
              <w:spacing w:after="0" w:line="288" w:lineRule="auto"/>
              <w:ind w:right="491"/>
              <w:jc w:val="both"/>
              <w:rPr>
                <w:rFonts w:cs="Arial"/>
                <w:color w:val="000000"/>
                <w:sz w:val="18"/>
                <w:szCs w:val="18"/>
                <w:lang w:val="en-GB" w:eastAsia="de-CH"/>
              </w:rPr>
            </w:pPr>
            <w:r w:rsidRPr="008240FB">
              <w:rPr>
                <w:rFonts w:cs="Arial"/>
                <w:color w:val="156082" w:themeColor="accent1"/>
                <w:sz w:val="18"/>
                <w:szCs w:val="18"/>
                <w:lang w:val="en-GB" w:eastAsia="de-CH"/>
              </w:rPr>
              <w:t>All institutions involved—whether programme operators, component operators, or implementers— have their own procedures and rules (like procurement rules, accounting regulations, administrative procedures etc.), which enable them to prevent fiduciary risk</w:t>
            </w:r>
            <w:r>
              <w:rPr>
                <w:rFonts w:cs="Arial"/>
                <w:color w:val="000000"/>
                <w:sz w:val="18"/>
                <w:szCs w:val="18"/>
                <w:lang w:val="en-GB" w:eastAsia="de-CH"/>
              </w:rPr>
              <w:t>.</w:t>
            </w:r>
          </w:p>
        </w:tc>
      </w:tr>
      <w:tr w:rsidR="00D70FC1" w:rsidRPr="006B7CC6" w14:paraId="0632C1BB" w14:textId="77777777" w:rsidTr="00792CAA">
        <w:tc>
          <w:tcPr>
            <w:tcW w:w="3355" w:type="dxa"/>
            <w:tcBorders>
              <w:top w:val="dashed" w:sz="4" w:space="0" w:color="auto"/>
              <w:bottom w:val="dashed" w:sz="4" w:space="0" w:color="auto"/>
            </w:tcBorders>
          </w:tcPr>
          <w:p w14:paraId="0D2E54F2"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Financial risk (inflation, VAT rise, currency exchange fluctuation, irregularities in the use of funds)</w:t>
            </w:r>
          </w:p>
        </w:tc>
        <w:tc>
          <w:tcPr>
            <w:tcW w:w="1251" w:type="dxa"/>
            <w:tcBorders>
              <w:top w:val="dashed" w:sz="4" w:space="0" w:color="auto"/>
              <w:left w:val="nil"/>
              <w:bottom w:val="dashed" w:sz="4" w:space="0" w:color="auto"/>
              <w:right w:val="nil"/>
            </w:tcBorders>
          </w:tcPr>
          <w:p w14:paraId="457D849B"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7B550D17"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08E422F2"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95773731"/>
                <w:placeholder>
                  <w:docPart w:val="B303602698A94992AEB2E2C187108D6F"/>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6B7CC6">
                  <w:rPr>
                    <w:rFonts w:eastAsia="Calibri" w:cs="Arial"/>
                    <w:sz w:val="20"/>
                    <w:szCs w:val="20"/>
                    <w:lang w:val="en-GB"/>
                  </w:rPr>
                  <w:t>Low-Medium</w:t>
                </w:r>
              </w:sdtContent>
            </w:sdt>
          </w:p>
        </w:tc>
        <w:tc>
          <w:tcPr>
            <w:tcW w:w="6932" w:type="dxa"/>
            <w:tcBorders>
              <w:top w:val="dashed" w:sz="4" w:space="0" w:color="auto"/>
              <w:left w:val="nil"/>
              <w:bottom w:val="dashed" w:sz="4" w:space="0" w:color="auto"/>
              <w:right w:val="nil"/>
            </w:tcBorders>
          </w:tcPr>
          <w:p w14:paraId="331D4D7F" w14:textId="77777777" w:rsidR="00D70FC1" w:rsidRPr="0004404C" w:rsidRDefault="00D70FC1" w:rsidP="004959D6">
            <w:pPr>
              <w:spacing w:after="0" w:line="288" w:lineRule="auto"/>
              <w:ind w:right="491"/>
              <w:jc w:val="both"/>
              <w:rPr>
                <w:rFonts w:cs="Arial"/>
                <w:color w:val="000000"/>
                <w:sz w:val="18"/>
                <w:szCs w:val="18"/>
                <w:lang w:val="en-GB" w:eastAsia="de-CH"/>
              </w:rPr>
            </w:pPr>
            <w:r w:rsidRPr="0004404C">
              <w:rPr>
                <w:rFonts w:cs="Arial"/>
                <w:color w:val="000000" w:themeColor="text1"/>
                <w:sz w:val="18"/>
                <w:szCs w:val="18"/>
                <w:lang w:val="en-GB" w:eastAsia="de-CH"/>
              </w:rPr>
              <w:t>Operational financial monitoring, conservative financial planning, consultations with State Shared Service Centre.</w:t>
            </w:r>
          </w:p>
        </w:tc>
      </w:tr>
      <w:tr w:rsidR="00D70FC1" w:rsidRPr="006B7CC6" w14:paraId="0E46969C" w14:textId="77777777" w:rsidTr="00792CAA">
        <w:tc>
          <w:tcPr>
            <w:tcW w:w="3355" w:type="dxa"/>
            <w:tcBorders>
              <w:top w:val="dashed" w:sz="4" w:space="0" w:color="auto"/>
              <w:bottom w:val="dashed" w:sz="4" w:space="0" w:color="auto"/>
            </w:tcBorders>
          </w:tcPr>
          <w:p w14:paraId="643EC613"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Security risk (escalation of war in Ukraine, destabilisation of Russia, Russian hybrid aggression against Estonia)</w:t>
            </w:r>
          </w:p>
        </w:tc>
        <w:tc>
          <w:tcPr>
            <w:tcW w:w="1251" w:type="dxa"/>
            <w:tcBorders>
              <w:top w:val="dashed" w:sz="4" w:space="0" w:color="auto"/>
              <w:left w:val="nil"/>
              <w:bottom w:val="dashed" w:sz="4" w:space="0" w:color="auto"/>
              <w:right w:val="nil"/>
            </w:tcBorders>
          </w:tcPr>
          <w:p w14:paraId="5741A802"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0CD73E27"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38782773"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859046768"/>
                <w:placeholder>
                  <w:docPart w:val="AA2AA6270DFA4071AE06228F0ED08224"/>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6B7CC6">
                  <w:rPr>
                    <w:rFonts w:eastAsia="Calibri" w:cs="Arial"/>
                    <w:sz w:val="20"/>
                    <w:szCs w:val="20"/>
                    <w:lang w:val="en-GB"/>
                  </w:rPr>
                  <w:t>Low-Medium</w:t>
                </w:r>
              </w:sdtContent>
            </w:sdt>
          </w:p>
        </w:tc>
        <w:tc>
          <w:tcPr>
            <w:tcW w:w="6932" w:type="dxa"/>
            <w:tcBorders>
              <w:top w:val="dashed" w:sz="4" w:space="0" w:color="auto"/>
              <w:left w:val="nil"/>
              <w:bottom w:val="dashed" w:sz="4" w:space="0" w:color="auto"/>
              <w:right w:val="nil"/>
            </w:tcBorders>
          </w:tcPr>
          <w:p w14:paraId="748E32FA" w14:textId="77777777" w:rsidR="00D70FC1" w:rsidRPr="0004404C" w:rsidRDefault="00D70FC1" w:rsidP="004959D6">
            <w:pPr>
              <w:spacing w:after="0" w:line="288" w:lineRule="auto"/>
              <w:ind w:right="491"/>
              <w:jc w:val="both"/>
              <w:rPr>
                <w:rFonts w:cs="Arial"/>
                <w:color w:val="000000"/>
                <w:sz w:val="18"/>
                <w:szCs w:val="18"/>
                <w:lang w:val="en-GB" w:eastAsia="de-CH"/>
              </w:rPr>
            </w:pPr>
            <w:r w:rsidRPr="0004404C">
              <w:rPr>
                <w:rFonts w:cs="Arial"/>
                <w:color w:val="000000" w:themeColor="text1"/>
                <w:sz w:val="18"/>
                <w:szCs w:val="18"/>
                <w:lang w:val="en-GB" w:eastAsia="de-CH"/>
              </w:rPr>
              <w:t xml:space="preserve">Consistent monitoring of the international situation. </w:t>
            </w:r>
          </w:p>
        </w:tc>
      </w:tr>
      <w:tr w:rsidR="00D70FC1" w:rsidRPr="006B7CC6" w14:paraId="0F6757D4" w14:textId="77777777" w:rsidTr="00792CAA">
        <w:tc>
          <w:tcPr>
            <w:tcW w:w="3355" w:type="dxa"/>
            <w:tcBorders>
              <w:top w:val="dashed" w:sz="4" w:space="0" w:color="auto"/>
              <w:left w:val="nil"/>
              <w:bottom w:val="dashed" w:sz="4" w:space="0" w:color="auto"/>
              <w:right w:val="nil"/>
            </w:tcBorders>
          </w:tcPr>
          <w:p w14:paraId="450CA6D4"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lastRenderedPageBreak/>
              <w:t>Environmental risk</w:t>
            </w:r>
          </w:p>
        </w:tc>
        <w:tc>
          <w:tcPr>
            <w:tcW w:w="1251" w:type="dxa"/>
            <w:tcBorders>
              <w:top w:val="dashed" w:sz="4" w:space="0" w:color="auto"/>
              <w:left w:val="nil"/>
              <w:bottom w:val="dashed" w:sz="4" w:space="0" w:color="auto"/>
              <w:right w:val="nil"/>
            </w:tcBorders>
          </w:tcPr>
          <w:p w14:paraId="1168E9C9"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1</w:t>
            </w:r>
          </w:p>
        </w:tc>
        <w:tc>
          <w:tcPr>
            <w:tcW w:w="1316" w:type="dxa"/>
            <w:tcBorders>
              <w:top w:val="dashed" w:sz="4" w:space="0" w:color="auto"/>
              <w:left w:val="nil"/>
              <w:bottom w:val="dashed" w:sz="4" w:space="0" w:color="auto"/>
              <w:right w:val="nil"/>
            </w:tcBorders>
          </w:tcPr>
          <w:p w14:paraId="00DD8489"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1</w:t>
            </w:r>
          </w:p>
        </w:tc>
        <w:tc>
          <w:tcPr>
            <w:tcW w:w="2030" w:type="dxa"/>
            <w:tcBorders>
              <w:top w:val="dashed" w:sz="4" w:space="0" w:color="auto"/>
              <w:left w:val="nil"/>
              <w:bottom w:val="dashed" w:sz="4" w:space="0" w:color="auto"/>
              <w:right w:val="nil"/>
            </w:tcBorders>
          </w:tcPr>
          <w:p w14:paraId="4D323E4E"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sdt>
              <w:sdtPr>
                <w:rPr>
                  <w:rFonts w:eastAsia="Calibri" w:cs="Arial"/>
                  <w:color w:val="2B579A"/>
                  <w:sz w:val="20"/>
                  <w:szCs w:val="20"/>
                  <w:shd w:val="clear" w:color="auto" w:fill="E6E6E6"/>
                  <w:lang w:val="en-GB"/>
                </w:rPr>
                <w:id w:val="1816913375"/>
                <w:placeholder>
                  <w:docPart w:val="B8B66BB646A942949E44026C40E895C8"/>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Pr="006B7CC6">
                  <w:rPr>
                    <w:rFonts w:eastAsia="Calibri" w:cs="Arial"/>
                    <w:sz w:val="20"/>
                    <w:szCs w:val="20"/>
                    <w:lang w:val="en-GB"/>
                  </w:rPr>
                  <w:t>Low</w:t>
                </w:r>
              </w:sdtContent>
            </w:sdt>
          </w:p>
        </w:tc>
        <w:tc>
          <w:tcPr>
            <w:tcW w:w="6932" w:type="dxa"/>
            <w:tcBorders>
              <w:top w:val="dashed" w:sz="4" w:space="0" w:color="auto"/>
              <w:left w:val="nil"/>
              <w:bottom w:val="dashed" w:sz="4" w:space="0" w:color="auto"/>
              <w:right w:val="nil"/>
            </w:tcBorders>
          </w:tcPr>
          <w:p w14:paraId="1B8D1B91" w14:textId="77777777" w:rsidR="00D70FC1" w:rsidRPr="0004404C" w:rsidRDefault="00D70FC1" w:rsidP="004959D6">
            <w:pPr>
              <w:spacing w:after="0" w:line="288" w:lineRule="auto"/>
              <w:ind w:right="491"/>
              <w:jc w:val="both"/>
              <w:rPr>
                <w:rFonts w:cs="Arial"/>
                <w:color w:val="000000"/>
                <w:sz w:val="18"/>
                <w:szCs w:val="18"/>
                <w:lang w:val="en-GB" w:eastAsia="de-CH"/>
              </w:rPr>
            </w:pPr>
            <w:r w:rsidRPr="0004404C">
              <w:rPr>
                <w:rFonts w:cs="Arial"/>
                <w:color w:val="000000" w:themeColor="text1"/>
                <w:sz w:val="18"/>
                <w:szCs w:val="18"/>
                <w:lang w:val="en-GB" w:eastAsia="de-CH"/>
              </w:rPr>
              <w:t>The SSIP activities have no significant harm on the environment.</w:t>
            </w:r>
          </w:p>
        </w:tc>
      </w:tr>
      <w:tr w:rsidR="00D70FC1" w:rsidRPr="006B7CC6" w14:paraId="164FB1FB" w14:textId="77777777" w:rsidTr="00792CAA">
        <w:tc>
          <w:tcPr>
            <w:tcW w:w="3355" w:type="dxa"/>
            <w:tcBorders>
              <w:top w:val="dashed" w:sz="4" w:space="0" w:color="auto"/>
              <w:left w:val="nil"/>
              <w:bottom w:val="dashed" w:sz="4" w:space="0" w:color="auto"/>
              <w:right w:val="nil"/>
            </w:tcBorders>
          </w:tcPr>
          <w:p w14:paraId="0AA124CE" w14:textId="77777777"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Management staff risk (not enough personnel, changes in staff or they are overloaded with other tasks)</w:t>
            </w:r>
          </w:p>
        </w:tc>
        <w:tc>
          <w:tcPr>
            <w:tcW w:w="1251" w:type="dxa"/>
            <w:tcBorders>
              <w:top w:val="dashed" w:sz="4" w:space="0" w:color="auto"/>
              <w:left w:val="nil"/>
              <w:bottom w:val="dashed" w:sz="4" w:space="0" w:color="auto"/>
              <w:right w:val="nil"/>
            </w:tcBorders>
          </w:tcPr>
          <w:p w14:paraId="630D9C92"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1316" w:type="dxa"/>
            <w:tcBorders>
              <w:top w:val="dashed" w:sz="4" w:space="0" w:color="auto"/>
              <w:left w:val="nil"/>
              <w:bottom w:val="dashed" w:sz="4" w:space="0" w:color="auto"/>
              <w:right w:val="nil"/>
            </w:tcBorders>
          </w:tcPr>
          <w:p w14:paraId="1C3C6D8D"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sz w:val="18"/>
                <w:szCs w:val="18"/>
                <w:lang w:val="en-GB" w:eastAsia="de-CH"/>
              </w:rPr>
              <w:t>3</w:t>
            </w:r>
          </w:p>
        </w:tc>
        <w:tc>
          <w:tcPr>
            <w:tcW w:w="2030" w:type="dxa"/>
            <w:tcBorders>
              <w:top w:val="dashed" w:sz="4" w:space="0" w:color="auto"/>
              <w:left w:val="nil"/>
              <w:bottom w:val="dashed" w:sz="4" w:space="0" w:color="auto"/>
              <w:right w:val="nil"/>
            </w:tcBorders>
          </w:tcPr>
          <w:p w14:paraId="55436BE6"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r w:rsidRPr="006B7CC6">
              <w:rPr>
                <w:rFonts w:eastAsia="Calibri" w:cs="Arial"/>
                <w:sz w:val="20"/>
                <w:szCs w:val="20"/>
                <w:lang w:val="en-GB"/>
              </w:rPr>
              <w:t>Medium-Low</w:t>
            </w:r>
          </w:p>
        </w:tc>
        <w:tc>
          <w:tcPr>
            <w:tcW w:w="6932" w:type="dxa"/>
            <w:tcBorders>
              <w:top w:val="dashed" w:sz="4" w:space="0" w:color="auto"/>
              <w:left w:val="nil"/>
              <w:bottom w:val="dashed" w:sz="4" w:space="0" w:color="auto"/>
              <w:right w:val="nil"/>
            </w:tcBorders>
          </w:tcPr>
          <w:p w14:paraId="168F40CE" w14:textId="77777777" w:rsidR="00D70FC1"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Honest communication with donors, quick response to needs that have occurred.</w:t>
            </w:r>
            <w:r>
              <w:t xml:space="preserve"> </w:t>
            </w:r>
            <w:r w:rsidRPr="0004404C">
              <w:rPr>
                <w:rFonts w:cs="Arial"/>
                <w:color w:val="000000" w:themeColor="text1"/>
                <w:sz w:val="18"/>
                <w:szCs w:val="18"/>
                <w:lang w:val="en-GB" w:eastAsia="de-CH"/>
              </w:rPr>
              <w:t>Optimal planning of staff resources.</w:t>
            </w:r>
          </w:p>
          <w:p w14:paraId="1EF70A84" w14:textId="77777777" w:rsidR="00911CF7" w:rsidRDefault="00911CF7" w:rsidP="004959D6">
            <w:pPr>
              <w:spacing w:after="0" w:line="288" w:lineRule="auto"/>
              <w:ind w:right="491"/>
              <w:jc w:val="both"/>
              <w:rPr>
                <w:rFonts w:cs="Arial"/>
                <w:color w:val="156082" w:themeColor="accent1"/>
                <w:sz w:val="18"/>
                <w:szCs w:val="18"/>
                <w:lang w:val="en-GB" w:eastAsia="de-CH"/>
              </w:rPr>
            </w:pPr>
            <w:r w:rsidRPr="00911CF7">
              <w:rPr>
                <w:rFonts w:cs="Arial"/>
                <w:color w:val="156082" w:themeColor="accent1"/>
                <w:sz w:val="18"/>
                <w:szCs w:val="18"/>
                <w:lang w:val="en-GB" w:eastAsia="de-CH"/>
              </w:rPr>
              <w:t>We aim to ensure that project teams have sufficient resources. In 2024, all involved actively contributed to this effort, so that the successful launch and implementation of thematic activities could start as soon as possible.</w:t>
            </w:r>
          </w:p>
          <w:p w14:paraId="2D93B33B" w14:textId="765E4625" w:rsidR="00D70FC1" w:rsidRPr="00792CAA" w:rsidRDefault="00792CAA" w:rsidP="004959D6">
            <w:pPr>
              <w:spacing w:after="0" w:line="288" w:lineRule="auto"/>
              <w:ind w:right="491"/>
              <w:jc w:val="both"/>
              <w:rPr>
                <w:rFonts w:cs="Arial"/>
                <w:color w:val="156082" w:themeColor="accent1"/>
                <w:sz w:val="18"/>
                <w:szCs w:val="18"/>
                <w:lang w:val="en-GB" w:eastAsia="de-CH"/>
              </w:rPr>
            </w:pPr>
            <w:r w:rsidRPr="00792CAA">
              <w:rPr>
                <w:rFonts w:cs="Arial"/>
                <w:color w:val="156082" w:themeColor="accent1"/>
                <w:sz w:val="18"/>
                <w:szCs w:val="18"/>
                <w:lang w:val="en-GB" w:eastAsia="de-CH"/>
              </w:rPr>
              <w:t>Institutions shall have procedures in place to ensure the smooth transfer of tasks and the proper storage of documents, thereby preserving institutional memory.</w:t>
            </w:r>
          </w:p>
        </w:tc>
      </w:tr>
      <w:tr w:rsidR="00D70FC1" w:rsidRPr="006B7CC6" w14:paraId="22102537" w14:textId="77777777" w:rsidTr="00792CAA">
        <w:tc>
          <w:tcPr>
            <w:tcW w:w="3355" w:type="dxa"/>
            <w:tcBorders>
              <w:top w:val="dashed" w:sz="4" w:space="0" w:color="auto"/>
              <w:left w:val="nil"/>
              <w:bottom w:val="dashed" w:sz="4" w:space="0" w:color="auto"/>
              <w:right w:val="nil"/>
            </w:tcBorders>
          </w:tcPr>
          <w:p w14:paraId="0A6BB1F8" w14:textId="0CE1005C" w:rsidR="00D70FC1" w:rsidRPr="006B7CC6" w:rsidRDefault="00D70FC1" w:rsidP="004959D6">
            <w:pPr>
              <w:spacing w:after="0"/>
              <w:jc w:val="both"/>
              <w:rPr>
                <w:rFonts w:cs="Arial"/>
                <w:sz w:val="18"/>
                <w:szCs w:val="18"/>
                <w:lang w:val="en-GB" w:eastAsia="de-CH"/>
              </w:rPr>
            </w:pPr>
            <w:r w:rsidRPr="006B7CC6">
              <w:rPr>
                <w:rFonts w:cs="Arial"/>
                <w:sz w:val="18"/>
                <w:szCs w:val="18"/>
                <w:lang w:val="en-GB" w:eastAsia="de-CH"/>
              </w:rPr>
              <w:t>Procurement process complexity (donor involvement, donor approval process, irregularities in procurement procedures</w:t>
            </w:r>
            <w:r>
              <w:rPr>
                <w:rFonts w:cs="Arial"/>
                <w:sz w:val="18"/>
                <w:szCs w:val="18"/>
                <w:lang w:val="en-GB" w:eastAsia="de-CH"/>
              </w:rPr>
              <w:t xml:space="preserve">, </w:t>
            </w:r>
            <w:r w:rsidR="00911CF7" w:rsidRPr="00911CF7">
              <w:rPr>
                <w:rFonts w:cs="Arial"/>
                <w:color w:val="156082" w:themeColor="accent1"/>
                <w:sz w:val="18"/>
                <w:szCs w:val="18"/>
                <w:lang w:eastAsia="de-CH"/>
              </w:rPr>
              <w:t>f</w:t>
            </w:r>
            <w:r w:rsidR="00911CF7" w:rsidRPr="00911CF7">
              <w:rPr>
                <w:rFonts w:cs="Arial"/>
                <w:color w:val="156082" w:themeColor="accent1"/>
                <w:sz w:val="18"/>
                <w:szCs w:val="18"/>
                <w:lang w:eastAsia="de-CH"/>
              </w:rPr>
              <w:t>ailure of procurements</w:t>
            </w:r>
            <w:r w:rsidRPr="006B7CC6">
              <w:rPr>
                <w:rFonts w:cs="Arial"/>
                <w:sz w:val="18"/>
                <w:szCs w:val="18"/>
                <w:lang w:val="en-GB" w:eastAsia="de-CH"/>
              </w:rPr>
              <w:t>)</w:t>
            </w:r>
          </w:p>
        </w:tc>
        <w:tc>
          <w:tcPr>
            <w:tcW w:w="1251" w:type="dxa"/>
            <w:tcBorders>
              <w:top w:val="dashed" w:sz="4" w:space="0" w:color="auto"/>
              <w:left w:val="nil"/>
              <w:bottom w:val="dashed" w:sz="4" w:space="0" w:color="auto"/>
              <w:right w:val="nil"/>
            </w:tcBorders>
          </w:tcPr>
          <w:p w14:paraId="60972B04"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3</w:t>
            </w:r>
          </w:p>
        </w:tc>
        <w:tc>
          <w:tcPr>
            <w:tcW w:w="1316" w:type="dxa"/>
            <w:tcBorders>
              <w:top w:val="dashed" w:sz="4" w:space="0" w:color="auto"/>
              <w:left w:val="nil"/>
              <w:bottom w:val="dashed" w:sz="4" w:space="0" w:color="auto"/>
              <w:right w:val="nil"/>
            </w:tcBorders>
          </w:tcPr>
          <w:p w14:paraId="225A33F0"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4</w:t>
            </w:r>
          </w:p>
        </w:tc>
        <w:tc>
          <w:tcPr>
            <w:tcW w:w="2030" w:type="dxa"/>
            <w:tcBorders>
              <w:top w:val="dashed" w:sz="4" w:space="0" w:color="auto"/>
              <w:left w:val="nil"/>
              <w:bottom w:val="dashed" w:sz="4" w:space="0" w:color="auto"/>
              <w:right w:val="nil"/>
            </w:tcBorders>
          </w:tcPr>
          <w:p w14:paraId="79873ED9" w14:textId="77777777" w:rsidR="00D70FC1" w:rsidRPr="006B7CC6" w:rsidRDefault="00D70FC1" w:rsidP="004959D6">
            <w:pPr>
              <w:spacing w:after="0" w:line="288" w:lineRule="auto"/>
              <w:ind w:left="360" w:hanging="360"/>
              <w:rPr>
                <w:rFonts w:eastAsia="Calibri" w:cs="Arial"/>
                <w:sz w:val="20"/>
                <w:szCs w:val="20"/>
                <w:lang w:val="en-GB"/>
              </w:rPr>
            </w:pPr>
            <w:r w:rsidRPr="006B7CC6">
              <w:rPr>
                <w:rFonts w:eastAsia="Calibri" w:cs="Arial"/>
                <w:sz w:val="20"/>
                <w:szCs w:val="20"/>
                <w:lang w:val="en-GB"/>
              </w:rPr>
              <w:t>Medium-High</w:t>
            </w:r>
          </w:p>
        </w:tc>
        <w:tc>
          <w:tcPr>
            <w:tcW w:w="6932" w:type="dxa"/>
            <w:tcBorders>
              <w:top w:val="dashed" w:sz="4" w:space="0" w:color="auto"/>
              <w:left w:val="nil"/>
              <w:bottom w:val="dashed" w:sz="4" w:space="0" w:color="auto"/>
              <w:right w:val="nil"/>
            </w:tcBorders>
          </w:tcPr>
          <w:p w14:paraId="548301AB" w14:textId="77777777" w:rsidR="00D70FC1" w:rsidRDefault="00D70FC1" w:rsidP="004959D6">
            <w:pPr>
              <w:spacing w:after="0" w:line="288" w:lineRule="auto"/>
              <w:ind w:right="491"/>
              <w:jc w:val="both"/>
              <w:rPr>
                <w:rFonts w:cs="Arial"/>
                <w:color w:val="000000" w:themeColor="text1"/>
                <w:sz w:val="18"/>
                <w:szCs w:val="18"/>
                <w:lang w:eastAsia="de-CH"/>
              </w:rPr>
            </w:pPr>
            <w:r w:rsidRPr="0004404C">
              <w:rPr>
                <w:rFonts w:cs="Arial"/>
                <w:color w:val="000000" w:themeColor="text1"/>
                <w:sz w:val="18"/>
                <w:szCs w:val="18"/>
                <w:lang w:eastAsia="de-CH"/>
              </w:rPr>
              <w:t xml:space="preserve">Swift and good cooperation with donors, translating and providing them with materials as fast as possible; consultations with the procurement experts of the State Shared Service Centre.  </w:t>
            </w:r>
          </w:p>
          <w:p w14:paraId="0038E75A" w14:textId="60EC39A9" w:rsidR="00911CF7" w:rsidRPr="0004404C" w:rsidRDefault="00911CF7" w:rsidP="004959D6">
            <w:pPr>
              <w:spacing w:after="0" w:line="288" w:lineRule="auto"/>
              <w:ind w:right="491"/>
              <w:jc w:val="both"/>
              <w:rPr>
                <w:rFonts w:cs="Arial"/>
                <w:color w:val="000000" w:themeColor="text1"/>
                <w:sz w:val="18"/>
                <w:szCs w:val="18"/>
                <w:lang w:eastAsia="de-CH"/>
              </w:rPr>
            </w:pPr>
            <w:r w:rsidRPr="00911CF7">
              <w:rPr>
                <w:rFonts w:cs="Arial"/>
                <w:color w:val="156082" w:themeColor="accent1"/>
                <w:sz w:val="18"/>
                <w:szCs w:val="18"/>
                <w:lang w:val="en-GB" w:eastAsia="de-CH"/>
              </w:rPr>
              <w:t>Conducting market research before issuing the procurement. Informing potential bidders in advance about the upcoming procurement.</w:t>
            </w:r>
          </w:p>
        </w:tc>
      </w:tr>
      <w:tr w:rsidR="00D70FC1" w:rsidRPr="006B7CC6" w14:paraId="568BADBF" w14:textId="77777777" w:rsidTr="00792CAA">
        <w:tc>
          <w:tcPr>
            <w:tcW w:w="3355" w:type="dxa"/>
            <w:tcBorders>
              <w:top w:val="dashed" w:sz="4" w:space="0" w:color="auto"/>
              <w:left w:val="nil"/>
              <w:bottom w:val="dashed" w:sz="4" w:space="0" w:color="auto"/>
              <w:right w:val="nil"/>
            </w:tcBorders>
          </w:tcPr>
          <w:p w14:paraId="60706754" w14:textId="77777777" w:rsidR="00D70FC1" w:rsidRPr="006B7CC6" w:rsidRDefault="00D70FC1" w:rsidP="004959D6">
            <w:pPr>
              <w:spacing w:after="0"/>
              <w:rPr>
                <w:rFonts w:cs="Arial"/>
                <w:sz w:val="18"/>
                <w:szCs w:val="18"/>
                <w:lang w:val="en-GB" w:eastAsia="de-CH"/>
              </w:rPr>
            </w:pPr>
            <w:r w:rsidRPr="006B7CC6">
              <w:rPr>
                <w:rFonts w:cs="Arial"/>
                <w:sz w:val="18"/>
                <w:szCs w:val="18"/>
                <w:lang w:val="en-GB" w:eastAsia="de-CH"/>
              </w:rPr>
              <w:t>Political risks (changes is political priorities due to changes in the coalition or elections).</w:t>
            </w:r>
          </w:p>
        </w:tc>
        <w:tc>
          <w:tcPr>
            <w:tcW w:w="1251" w:type="dxa"/>
            <w:tcBorders>
              <w:top w:val="dashed" w:sz="4" w:space="0" w:color="auto"/>
              <w:left w:val="nil"/>
              <w:bottom w:val="dashed" w:sz="4" w:space="0" w:color="auto"/>
              <w:right w:val="nil"/>
            </w:tcBorders>
          </w:tcPr>
          <w:p w14:paraId="5338DA28" w14:textId="77777777" w:rsidR="00D70FC1" w:rsidRPr="006B7CC6" w:rsidRDefault="00D70FC1" w:rsidP="004959D6">
            <w:pPr>
              <w:spacing w:after="0" w:line="288" w:lineRule="auto"/>
              <w:ind w:left="360" w:hanging="360"/>
              <w:rPr>
                <w:rFonts w:cs="Arial"/>
                <w:color w:val="000000"/>
                <w:sz w:val="18"/>
                <w:szCs w:val="18"/>
                <w:lang w:val="en-GB" w:eastAsia="de-CH"/>
              </w:rPr>
            </w:pPr>
            <w:r w:rsidRPr="007177EF">
              <w:rPr>
                <w:rFonts w:cs="Arial"/>
                <w:color w:val="156082" w:themeColor="accent1"/>
                <w:sz w:val="18"/>
                <w:szCs w:val="18"/>
                <w:lang w:val="en-GB" w:eastAsia="de-CH"/>
              </w:rPr>
              <w:t>3</w:t>
            </w:r>
          </w:p>
        </w:tc>
        <w:tc>
          <w:tcPr>
            <w:tcW w:w="1316" w:type="dxa"/>
            <w:tcBorders>
              <w:top w:val="dashed" w:sz="4" w:space="0" w:color="auto"/>
              <w:left w:val="nil"/>
              <w:bottom w:val="dashed" w:sz="4" w:space="0" w:color="auto"/>
              <w:right w:val="nil"/>
            </w:tcBorders>
          </w:tcPr>
          <w:p w14:paraId="471605CD" w14:textId="77777777" w:rsidR="00D70FC1" w:rsidRPr="006B7CC6" w:rsidRDefault="00D70FC1" w:rsidP="004959D6">
            <w:pPr>
              <w:spacing w:after="0" w:line="288" w:lineRule="auto"/>
              <w:ind w:left="360" w:hanging="360"/>
              <w:rPr>
                <w:rFonts w:cs="Arial"/>
                <w:color w:val="000000"/>
                <w:sz w:val="18"/>
                <w:szCs w:val="18"/>
                <w:lang w:val="en-GB" w:eastAsia="de-CH"/>
              </w:rPr>
            </w:pPr>
            <w:r w:rsidRPr="006B7CC6">
              <w:rPr>
                <w:rFonts w:cs="Arial"/>
                <w:color w:val="000000" w:themeColor="text1"/>
                <w:sz w:val="18"/>
                <w:szCs w:val="18"/>
                <w:lang w:val="en-GB" w:eastAsia="de-CH"/>
              </w:rPr>
              <w:t>1</w:t>
            </w:r>
          </w:p>
        </w:tc>
        <w:tc>
          <w:tcPr>
            <w:tcW w:w="2030" w:type="dxa"/>
            <w:tcBorders>
              <w:top w:val="dashed" w:sz="4" w:space="0" w:color="auto"/>
              <w:left w:val="nil"/>
              <w:bottom w:val="dashed" w:sz="4" w:space="0" w:color="auto"/>
              <w:right w:val="nil"/>
            </w:tcBorders>
          </w:tcPr>
          <w:p w14:paraId="32E95813" w14:textId="77777777" w:rsidR="00D70FC1" w:rsidRPr="006B7CC6" w:rsidRDefault="00D70FC1" w:rsidP="004959D6">
            <w:pPr>
              <w:spacing w:after="0" w:line="288" w:lineRule="auto"/>
              <w:ind w:left="360" w:right="-257" w:hanging="360"/>
              <w:rPr>
                <w:rFonts w:eastAsia="Calibri" w:cs="Arial"/>
                <w:sz w:val="20"/>
                <w:szCs w:val="20"/>
                <w:lang w:val="en-GB"/>
              </w:rPr>
            </w:pPr>
            <w:r w:rsidRPr="007177EF">
              <w:rPr>
                <w:rFonts w:eastAsia="Calibri" w:cs="Arial"/>
                <w:color w:val="156082" w:themeColor="accent1"/>
                <w:sz w:val="20"/>
                <w:szCs w:val="20"/>
                <w:lang w:val="en-GB"/>
              </w:rPr>
              <w:t>Low</w:t>
            </w:r>
          </w:p>
        </w:tc>
        <w:tc>
          <w:tcPr>
            <w:tcW w:w="6932" w:type="dxa"/>
            <w:tcBorders>
              <w:top w:val="dashed" w:sz="4" w:space="0" w:color="auto"/>
              <w:left w:val="nil"/>
              <w:bottom w:val="dashed" w:sz="4" w:space="0" w:color="auto"/>
              <w:right w:val="nil"/>
            </w:tcBorders>
          </w:tcPr>
          <w:p w14:paraId="3CE49922" w14:textId="77777777" w:rsidR="00D70FC1" w:rsidRPr="0004404C"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Consistent monitoring of the internal, political situation, clear communication about the terms and conditions of the SSIP.</w:t>
            </w:r>
          </w:p>
          <w:p w14:paraId="28D38B17" w14:textId="77777777" w:rsidR="00D70FC1" w:rsidRPr="006B7CC6" w:rsidRDefault="00D70FC1" w:rsidP="004959D6">
            <w:pPr>
              <w:spacing w:after="0" w:line="288" w:lineRule="auto"/>
              <w:ind w:left="152" w:right="491"/>
              <w:jc w:val="both"/>
              <w:rPr>
                <w:rFonts w:cs="Arial"/>
                <w:color w:val="000000"/>
                <w:sz w:val="18"/>
                <w:szCs w:val="18"/>
                <w:lang w:val="en-GB" w:eastAsia="de-CH"/>
              </w:rPr>
            </w:pPr>
          </w:p>
        </w:tc>
      </w:tr>
      <w:tr w:rsidR="00D70FC1" w:rsidRPr="006B7CC6" w14:paraId="5398A382" w14:textId="77777777" w:rsidTr="00792CAA">
        <w:tc>
          <w:tcPr>
            <w:tcW w:w="3355" w:type="dxa"/>
            <w:tcBorders>
              <w:top w:val="dashed" w:sz="4" w:space="0" w:color="auto"/>
              <w:left w:val="nil"/>
              <w:bottom w:val="single" w:sz="6" w:space="0" w:color="auto"/>
              <w:right w:val="nil"/>
            </w:tcBorders>
          </w:tcPr>
          <w:p w14:paraId="479561A9" w14:textId="77777777" w:rsidR="00D70FC1" w:rsidRPr="006B7CC6" w:rsidRDefault="00D70FC1" w:rsidP="004959D6">
            <w:pPr>
              <w:spacing w:after="0"/>
              <w:rPr>
                <w:rFonts w:cs="Arial"/>
                <w:sz w:val="18"/>
                <w:szCs w:val="18"/>
                <w:lang w:val="en-GB" w:eastAsia="de-CH"/>
              </w:rPr>
            </w:pPr>
            <w:r w:rsidRPr="006B7CC6">
              <w:rPr>
                <w:rFonts w:cs="Arial"/>
                <w:sz w:val="18"/>
                <w:szCs w:val="18"/>
                <w:lang w:val="en-GB" w:eastAsia="de-CH"/>
              </w:rPr>
              <w:t>Operational risks (S</w:t>
            </w:r>
            <w:r>
              <w:rPr>
                <w:rFonts w:cs="Arial"/>
                <w:sz w:val="18"/>
                <w:szCs w:val="18"/>
                <w:lang w:val="en-GB" w:eastAsia="de-CH"/>
              </w:rPr>
              <w:t>SIP</w:t>
            </w:r>
            <w:r w:rsidRPr="006B7CC6">
              <w:rPr>
                <w:rFonts w:cs="Arial"/>
                <w:sz w:val="18"/>
                <w:szCs w:val="18"/>
                <w:lang w:val="en-GB" w:eastAsia="de-CH"/>
              </w:rPr>
              <w:t xml:space="preserve"> will be implemented by 4 ministries)</w:t>
            </w:r>
          </w:p>
        </w:tc>
        <w:tc>
          <w:tcPr>
            <w:tcW w:w="1251" w:type="dxa"/>
            <w:tcBorders>
              <w:top w:val="dashed" w:sz="4" w:space="0" w:color="auto"/>
              <w:left w:val="nil"/>
              <w:bottom w:val="single" w:sz="6" w:space="0" w:color="auto"/>
              <w:right w:val="nil"/>
            </w:tcBorders>
          </w:tcPr>
          <w:p w14:paraId="48D0721A"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r w:rsidRPr="006B7CC6">
              <w:rPr>
                <w:rFonts w:cs="Arial"/>
                <w:color w:val="000000" w:themeColor="text1"/>
                <w:sz w:val="18"/>
                <w:szCs w:val="18"/>
                <w:lang w:val="en-GB" w:eastAsia="de-CH"/>
              </w:rPr>
              <w:t>3</w:t>
            </w:r>
          </w:p>
        </w:tc>
        <w:tc>
          <w:tcPr>
            <w:tcW w:w="1316" w:type="dxa"/>
            <w:tcBorders>
              <w:top w:val="dashed" w:sz="4" w:space="0" w:color="auto"/>
              <w:left w:val="nil"/>
              <w:bottom w:val="single" w:sz="6" w:space="0" w:color="auto"/>
              <w:right w:val="nil"/>
            </w:tcBorders>
          </w:tcPr>
          <w:p w14:paraId="7FB623E3" w14:textId="77777777" w:rsidR="00D70FC1" w:rsidRPr="006B7CC6" w:rsidRDefault="00D70FC1" w:rsidP="004959D6">
            <w:pPr>
              <w:spacing w:after="0" w:line="288" w:lineRule="auto"/>
              <w:ind w:left="360" w:hanging="360"/>
              <w:rPr>
                <w:rFonts w:cs="Arial"/>
                <w:color w:val="000000" w:themeColor="text1"/>
                <w:sz w:val="18"/>
                <w:szCs w:val="18"/>
                <w:lang w:val="en-GB" w:eastAsia="de-CH"/>
              </w:rPr>
            </w:pPr>
            <w:r w:rsidRPr="006B7CC6">
              <w:rPr>
                <w:rFonts w:cs="Arial"/>
                <w:color w:val="000000" w:themeColor="text1"/>
                <w:sz w:val="18"/>
                <w:szCs w:val="18"/>
                <w:lang w:val="en-GB" w:eastAsia="de-CH"/>
              </w:rPr>
              <w:t>3</w:t>
            </w:r>
          </w:p>
        </w:tc>
        <w:tc>
          <w:tcPr>
            <w:tcW w:w="2030" w:type="dxa"/>
            <w:tcBorders>
              <w:top w:val="dashed" w:sz="4" w:space="0" w:color="auto"/>
              <w:left w:val="nil"/>
              <w:bottom w:val="single" w:sz="6" w:space="0" w:color="auto"/>
              <w:right w:val="nil"/>
            </w:tcBorders>
          </w:tcPr>
          <w:p w14:paraId="098BB082" w14:textId="77777777" w:rsidR="00D70FC1" w:rsidRPr="006B7CC6" w:rsidRDefault="00D70FC1" w:rsidP="004959D6">
            <w:pPr>
              <w:spacing w:after="0" w:line="288" w:lineRule="auto"/>
              <w:ind w:left="360" w:hanging="360"/>
              <w:rPr>
                <w:rFonts w:eastAsia="Calibri" w:cs="Arial"/>
                <w:sz w:val="20"/>
                <w:szCs w:val="20"/>
                <w:lang w:val="en-GB"/>
              </w:rPr>
            </w:pPr>
            <w:r w:rsidRPr="006B7CC6">
              <w:rPr>
                <w:rFonts w:eastAsia="Calibri" w:cs="Arial"/>
                <w:sz w:val="20"/>
                <w:szCs w:val="20"/>
                <w:lang w:val="en-GB"/>
              </w:rPr>
              <w:t>Medium-Low</w:t>
            </w:r>
          </w:p>
        </w:tc>
        <w:tc>
          <w:tcPr>
            <w:tcW w:w="6932" w:type="dxa"/>
            <w:tcBorders>
              <w:top w:val="dashed" w:sz="4" w:space="0" w:color="auto"/>
              <w:left w:val="nil"/>
              <w:bottom w:val="single" w:sz="6" w:space="0" w:color="auto"/>
              <w:right w:val="nil"/>
            </w:tcBorders>
          </w:tcPr>
          <w:p w14:paraId="4EFF1436" w14:textId="77777777" w:rsidR="00D70FC1" w:rsidRDefault="00D70FC1" w:rsidP="004959D6">
            <w:pPr>
              <w:spacing w:after="0" w:line="288" w:lineRule="auto"/>
              <w:ind w:right="491"/>
              <w:jc w:val="both"/>
              <w:rPr>
                <w:rFonts w:cs="Arial"/>
                <w:color w:val="000000" w:themeColor="text1"/>
                <w:sz w:val="18"/>
                <w:szCs w:val="18"/>
                <w:lang w:val="en-GB" w:eastAsia="de-CH"/>
              </w:rPr>
            </w:pPr>
            <w:r w:rsidRPr="0004404C">
              <w:rPr>
                <w:rFonts w:cs="Arial"/>
                <w:color w:val="000000" w:themeColor="text1"/>
                <w:sz w:val="18"/>
                <w:szCs w:val="18"/>
                <w:lang w:val="en-GB" w:eastAsia="de-CH"/>
              </w:rPr>
              <w:t>Close cooperation and communication between the 4 ministries and the NCU.</w:t>
            </w:r>
          </w:p>
          <w:p w14:paraId="2AB7432B" w14:textId="77777777" w:rsidR="00D70FC1" w:rsidRPr="00704236" w:rsidRDefault="00D70FC1" w:rsidP="004959D6">
            <w:pPr>
              <w:spacing w:after="0" w:line="288" w:lineRule="auto"/>
              <w:ind w:right="491"/>
              <w:jc w:val="both"/>
              <w:rPr>
                <w:rFonts w:cs="Arial"/>
                <w:color w:val="156082" w:themeColor="accent1"/>
                <w:sz w:val="18"/>
                <w:szCs w:val="18"/>
                <w:lang w:val="en-GB" w:eastAsia="de-CH"/>
              </w:rPr>
            </w:pPr>
            <w:r w:rsidRPr="004F48F4">
              <w:rPr>
                <w:rFonts w:cs="Arial"/>
                <w:color w:val="156082" w:themeColor="accent1"/>
                <w:sz w:val="18"/>
                <w:szCs w:val="18"/>
                <w:lang w:val="en-GB" w:eastAsia="de-CH"/>
              </w:rPr>
              <w:t xml:space="preserve">For ongoing monitoring and internal steering of the support measure the Task Force was </w:t>
            </w:r>
            <w:r>
              <w:rPr>
                <w:rFonts w:cs="Arial"/>
                <w:color w:val="156082" w:themeColor="accent1"/>
                <w:sz w:val="18"/>
                <w:szCs w:val="18"/>
                <w:lang w:val="en-GB" w:eastAsia="de-CH"/>
              </w:rPr>
              <w:t xml:space="preserve">established. </w:t>
            </w:r>
            <w:r w:rsidRPr="004F48F4">
              <w:rPr>
                <w:rFonts w:cs="Arial"/>
                <w:color w:val="156082" w:themeColor="accent1"/>
                <w:sz w:val="18"/>
                <w:szCs w:val="18"/>
                <w:lang w:val="en-GB" w:eastAsia="de-CH"/>
              </w:rPr>
              <w:t>In addition to the formal meetings, the NCU regularly leads informal meetings to exchange information and discuss issues related to the cooperation programme.</w:t>
            </w:r>
          </w:p>
        </w:tc>
      </w:tr>
      <w:tr w:rsidR="00D70FC1" w:rsidRPr="006B7CC6" w14:paraId="5482FABE" w14:textId="77777777" w:rsidTr="00792CAA">
        <w:tblPrEx>
          <w:tblCellMar>
            <w:left w:w="70" w:type="dxa"/>
            <w:bottom w:w="28" w:type="dxa"/>
            <w:right w:w="70" w:type="dxa"/>
          </w:tblCellMar>
        </w:tblPrEx>
        <w:trPr>
          <w:trHeight w:val="405"/>
        </w:trPr>
        <w:tc>
          <w:tcPr>
            <w:tcW w:w="4606" w:type="dxa"/>
            <w:gridSpan w:val="2"/>
            <w:tcBorders>
              <w:top w:val="single" w:sz="4" w:space="0" w:color="auto"/>
              <w:left w:val="nil"/>
              <w:bottom w:val="dashSmallGap" w:sz="4" w:space="0" w:color="auto"/>
              <w:right w:val="nil"/>
            </w:tcBorders>
            <w:vAlign w:val="center"/>
            <w:hideMark/>
          </w:tcPr>
          <w:p w14:paraId="21C598BB" w14:textId="77777777" w:rsidR="00D70FC1" w:rsidRPr="006B7CC6" w:rsidRDefault="00D70FC1" w:rsidP="004959D6">
            <w:pPr>
              <w:rPr>
                <w:rFonts w:cs="Arial"/>
                <w:lang w:val="en-GB"/>
              </w:rPr>
            </w:pPr>
            <w:r w:rsidRPr="00124358">
              <w:rPr>
                <w:bCs/>
                <w:lang w:val="en-GB"/>
              </w:rPr>
              <w:t>Overall Risk Level</w:t>
            </w:r>
            <w:r>
              <w:rPr>
                <w:bCs/>
                <w:lang w:val="en-GB"/>
              </w:rPr>
              <w:t xml:space="preserve"> SM</w:t>
            </w:r>
          </w:p>
        </w:tc>
        <w:sdt>
          <w:sdtPr>
            <w:rPr>
              <w:rFonts w:cs="Arial"/>
              <w:color w:val="2B579A"/>
              <w:shd w:val="clear" w:color="auto" w:fill="E6E6E6"/>
              <w:lang w:val="en-GB"/>
            </w:rPr>
            <w:alias w:val="Choose overall risk level"/>
            <w:tag w:val="Choose overall risk level"/>
            <w:id w:val="733046987"/>
            <w:placeholder>
              <w:docPart w:val="7BCAFFD51EDA4D14931055BF746D3C21"/>
            </w:placeholder>
            <w:comboBox>
              <w:listItem w:value="Choose overall risk level"/>
              <w:listItem w:displayText="Low" w:value="Low"/>
              <w:listItem w:displayText="Medium-low" w:value="Medium-low"/>
              <w:listItem w:displayText="Medium-high" w:value="Medium-high"/>
              <w:listItem w:displayText="High" w:value="High"/>
            </w:comboBox>
          </w:sdtPr>
          <w:sdtContent>
            <w:tc>
              <w:tcPr>
                <w:tcW w:w="10278" w:type="dxa"/>
                <w:gridSpan w:val="3"/>
                <w:tcBorders>
                  <w:top w:val="single" w:sz="4" w:space="0" w:color="auto"/>
                  <w:left w:val="nil"/>
                  <w:bottom w:val="dashSmallGap" w:sz="4" w:space="0" w:color="auto"/>
                  <w:right w:val="nil"/>
                </w:tcBorders>
                <w:noWrap/>
                <w:vAlign w:val="center"/>
              </w:tcPr>
              <w:p w14:paraId="348103FE" w14:textId="77777777" w:rsidR="00D70FC1" w:rsidRPr="006B7CC6" w:rsidRDefault="00D70FC1" w:rsidP="004959D6">
                <w:pPr>
                  <w:rPr>
                    <w:rFonts w:cs="Arial"/>
                    <w:lang w:val="en-GB"/>
                  </w:rPr>
                </w:pPr>
                <w:r w:rsidRPr="1571E6B5">
                  <w:rPr>
                    <w:rFonts w:cs="Arial"/>
                    <w:lang w:val="en-GB"/>
                  </w:rPr>
                  <w:t>Medium-low</w:t>
                </w:r>
              </w:p>
            </w:tc>
          </w:sdtContent>
        </w:sdt>
      </w:tr>
      <w:tr w:rsidR="00D70FC1" w:rsidRPr="006B7CC6" w14:paraId="042B47EF" w14:textId="77777777" w:rsidTr="00792CAA">
        <w:tblPrEx>
          <w:tblCellMar>
            <w:left w:w="70" w:type="dxa"/>
            <w:bottom w:w="28" w:type="dxa"/>
            <w:right w:w="70" w:type="dxa"/>
          </w:tblCellMar>
        </w:tblPrEx>
        <w:trPr>
          <w:trHeight w:val="405"/>
        </w:trPr>
        <w:tc>
          <w:tcPr>
            <w:tcW w:w="4606" w:type="dxa"/>
            <w:gridSpan w:val="2"/>
            <w:tcBorders>
              <w:top w:val="dashSmallGap" w:sz="4" w:space="0" w:color="auto"/>
              <w:left w:val="nil"/>
              <w:bottom w:val="single" w:sz="4" w:space="0" w:color="auto"/>
              <w:right w:val="nil"/>
            </w:tcBorders>
            <w:vAlign w:val="center"/>
          </w:tcPr>
          <w:p w14:paraId="3FDA3233" w14:textId="77777777" w:rsidR="00D70FC1" w:rsidRPr="006B7CC6" w:rsidRDefault="00D70FC1" w:rsidP="004959D6">
            <w:pPr>
              <w:rPr>
                <w:rFonts w:cs="Arial"/>
                <w:lang w:val="en-GB"/>
              </w:rPr>
            </w:pPr>
            <w:r w:rsidRPr="00124358">
              <w:rPr>
                <w:bCs/>
                <w:lang w:val="en-GB"/>
              </w:rPr>
              <w:t>Overall Risk Description</w:t>
            </w:r>
          </w:p>
        </w:tc>
        <w:tc>
          <w:tcPr>
            <w:tcW w:w="10278" w:type="dxa"/>
            <w:gridSpan w:val="3"/>
            <w:tcBorders>
              <w:top w:val="dashSmallGap" w:sz="4" w:space="0" w:color="auto"/>
              <w:left w:val="nil"/>
              <w:bottom w:val="single" w:sz="4" w:space="0" w:color="auto"/>
              <w:right w:val="nil"/>
            </w:tcBorders>
            <w:noWrap/>
            <w:vAlign w:val="center"/>
          </w:tcPr>
          <w:p w14:paraId="30C4ACF0" w14:textId="77777777" w:rsidR="00D70FC1" w:rsidRPr="006B7CC6" w:rsidRDefault="00D70FC1" w:rsidP="004959D6">
            <w:pPr>
              <w:jc w:val="both"/>
              <w:rPr>
                <w:rFonts w:cs="Arial"/>
                <w:lang w:val="en-GB"/>
              </w:rPr>
            </w:pPr>
            <w:r w:rsidRPr="1571E6B5">
              <w:rPr>
                <w:rFonts w:eastAsia="Calibri" w:cs="Arial"/>
                <w:sz w:val="20"/>
                <w:szCs w:val="20"/>
                <w:lang w:val="en-GB" w:eastAsia="de-CH"/>
              </w:rPr>
              <w:t>The overall risk level is medium-low. The highest score risks are related to time-frame constraints and procurements. The SSIP is quite complex, involving different ministries and partners, but they have close cooperation and good communication.</w:t>
            </w:r>
            <w:r w:rsidRPr="1571E6B5">
              <w:rPr>
                <w:rFonts w:cs="Arial"/>
              </w:rPr>
              <w:t xml:space="preserve"> </w:t>
            </w:r>
          </w:p>
        </w:tc>
      </w:tr>
    </w:tbl>
    <w:p w14:paraId="769F5897" w14:textId="77777777" w:rsidR="00E2428B" w:rsidRDefault="00E2428B"/>
    <w:sectPr w:rsidR="00E2428B" w:rsidSect="00D70FC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C1"/>
    <w:rsid w:val="001665F9"/>
    <w:rsid w:val="0017732F"/>
    <w:rsid w:val="00242E36"/>
    <w:rsid w:val="00346A48"/>
    <w:rsid w:val="00513CD0"/>
    <w:rsid w:val="007659F7"/>
    <w:rsid w:val="00792CAA"/>
    <w:rsid w:val="007E134B"/>
    <w:rsid w:val="00911CF7"/>
    <w:rsid w:val="00D70FC1"/>
    <w:rsid w:val="00E242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967"/>
  <w15:chartTrackingRefBased/>
  <w15:docId w15:val="{526AB256-1702-4E1A-AF5E-E88D744B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0FC1"/>
    <w:pPr>
      <w:spacing w:after="180" w:line="260" w:lineRule="atLeast"/>
    </w:pPr>
    <w:rPr>
      <w:rFonts w:ascii="Arial" w:eastAsia="Times New Roman" w:hAnsi="Arial" w:cs="Times New Roman"/>
      <w:kern w:val="0"/>
      <w:szCs w:val="24"/>
      <w:lang w:val="en-US"/>
      <w14:ligatures w14:val="none"/>
    </w:rPr>
  </w:style>
  <w:style w:type="paragraph" w:styleId="Pealkiri1">
    <w:name w:val="heading 1"/>
    <w:basedOn w:val="Normaallaad"/>
    <w:next w:val="Normaallaad"/>
    <w:link w:val="Pealkiri1Mrk"/>
    <w:uiPriority w:val="9"/>
    <w:qFormat/>
    <w:rsid w:val="00D70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70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70FC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70FC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70FC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70FC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70FC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70FC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70FC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70FC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70FC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70FC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70FC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70FC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70FC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70FC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70FC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70FC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70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70FC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70FC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70FC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70FC1"/>
    <w:pPr>
      <w:spacing w:before="160"/>
      <w:jc w:val="center"/>
    </w:pPr>
    <w:rPr>
      <w:i/>
      <w:iCs/>
      <w:color w:val="404040" w:themeColor="text1" w:themeTint="BF"/>
    </w:rPr>
  </w:style>
  <w:style w:type="character" w:customStyle="1" w:styleId="TsitaatMrk">
    <w:name w:val="Tsitaat Märk"/>
    <w:basedOn w:val="Liguvaikefont"/>
    <w:link w:val="Tsitaat"/>
    <w:uiPriority w:val="29"/>
    <w:rsid w:val="00D70FC1"/>
    <w:rPr>
      <w:i/>
      <w:iCs/>
      <w:color w:val="404040" w:themeColor="text1" w:themeTint="BF"/>
    </w:rPr>
  </w:style>
  <w:style w:type="paragraph" w:styleId="Loendilik">
    <w:name w:val="List Paragraph"/>
    <w:basedOn w:val="Normaallaad"/>
    <w:uiPriority w:val="34"/>
    <w:qFormat/>
    <w:rsid w:val="00D70FC1"/>
    <w:pPr>
      <w:ind w:left="720"/>
      <w:contextualSpacing/>
    </w:pPr>
  </w:style>
  <w:style w:type="character" w:styleId="Selgeltmrgatavrhutus">
    <w:name w:val="Intense Emphasis"/>
    <w:basedOn w:val="Liguvaikefont"/>
    <w:uiPriority w:val="21"/>
    <w:qFormat/>
    <w:rsid w:val="00D70FC1"/>
    <w:rPr>
      <w:i/>
      <w:iCs/>
      <w:color w:val="0F4761" w:themeColor="accent1" w:themeShade="BF"/>
    </w:rPr>
  </w:style>
  <w:style w:type="paragraph" w:styleId="Selgeltmrgatavtsitaat">
    <w:name w:val="Intense Quote"/>
    <w:basedOn w:val="Normaallaad"/>
    <w:next w:val="Normaallaad"/>
    <w:link w:val="SelgeltmrgatavtsitaatMrk"/>
    <w:uiPriority w:val="30"/>
    <w:qFormat/>
    <w:rsid w:val="00D70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70FC1"/>
    <w:rPr>
      <w:i/>
      <w:iCs/>
      <w:color w:val="0F4761" w:themeColor="accent1" w:themeShade="BF"/>
    </w:rPr>
  </w:style>
  <w:style w:type="character" w:styleId="Selgeltmrgatavviide">
    <w:name w:val="Intense Reference"/>
    <w:basedOn w:val="Liguvaikefont"/>
    <w:uiPriority w:val="32"/>
    <w:qFormat/>
    <w:rsid w:val="00D70F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1290">
      <w:bodyDiv w:val="1"/>
      <w:marLeft w:val="0"/>
      <w:marRight w:val="0"/>
      <w:marTop w:val="0"/>
      <w:marBottom w:val="0"/>
      <w:divBdr>
        <w:top w:val="none" w:sz="0" w:space="0" w:color="auto"/>
        <w:left w:val="none" w:sz="0" w:space="0" w:color="auto"/>
        <w:bottom w:val="none" w:sz="0" w:space="0" w:color="auto"/>
        <w:right w:val="none" w:sz="0" w:space="0" w:color="auto"/>
      </w:divBdr>
      <w:divsChild>
        <w:div w:id="1662199092">
          <w:marLeft w:val="0"/>
          <w:marRight w:val="0"/>
          <w:marTop w:val="0"/>
          <w:marBottom w:val="0"/>
          <w:divBdr>
            <w:top w:val="none" w:sz="0" w:space="0" w:color="auto"/>
            <w:left w:val="none" w:sz="0" w:space="0" w:color="auto"/>
            <w:bottom w:val="none" w:sz="0" w:space="0" w:color="auto"/>
            <w:right w:val="none" w:sz="0" w:space="0" w:color="auto"/>
          </w:divBdr>
          <w:divsChild>
            <w:div w:id="1138037197">
              <w:marLeft w:val="0"/>
              <w:marRight w:val="0"/>
              <w:marTop w:val="0"/>
              <w:marBottom w:val="0"/>
              <w:divBdr>
                <w:top w:val="none" w:sz="0" w:space="0" w:color="auto"/>
                <w:left w:val="none" w:sz="0" w:space="0" w:color="auto"/>
                <w:bottom w:val="none" w:sz="0" w:space="0" w:color="auto"/>
                <w:right w:val="none" w:sz="0" w:space="0" w:color="auto"/>
              </w:divBdr>
              <w:divsChild>
                <w:div w:id="93064088">
                  <w:marLeft w:val="0"/>
                  <w:marRight w:val="0"/>
                  <w:marTop w:val="0"/>
                  <w:marBottom w:val="0"/>
                  <w:divBdr>
                    <w:top w:val="none" w:sz="0" w:space="0" w:color="auto"/>
                    <w:left w:val="none" w:sz="0" w:space="0" w:color="auto"/>
                    <w:bottom w:val="none" w:sz="0" w:space="0" w:color="auto"/>
                    <w:right w:val="none" w:sz="0" w:space="0" w:color="auto"/>
                  </w:divBdr>
                  <w:divsChild>
                    <w:div w:id="1444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4917">
      <w:bodyDiv w:val="1"/>
      <w:marLeft w:val="0"/>
      <w:marRight w:val="0"/>
      <w:marTop w:val="0"/>
      <w:marBottom w:val="0"/>
      <w:divBdr>
        <w:top w:val="none" w:sz="0" w:space="0" w:color="auto"/>
        <w:left w:val="none" w:sz="0" w:space="0" w:color="auto"/>
        <w:bottom w:val="none" w:sz="0" w:space="0" w:color="auto"/>
        <w:right w:val="none" w:sz="0" w:space="0" w:color="auto"/>
      </w:divBdr>
      <w:divsChild>
        <w:div w:id="419765262">
          <w:marLeft w:val="0"/>
          <w:marRight w:val="0"/>
          <w:marTop w:val="0"/>
          <w:marBottom w:val="0"/>
          <w:divBdr>
            <w:top w:val="none" w:sz="0" w:space="0" w:color="auto"/>
            <w:left w:val="none" w:sz="0" w:space="0" w:color="auto"/>
            <w:bottom w:val="none" w:sz="0" w:space="0" w:color="auto"/>
            <w:right w:val="none" w:sz="0" w:space="0" w:color="auto"/>
          </w:divBdr>
          <w:divsChild>
            <w:div w:id="1268730042">
              <w:marLeft w:val="0"/>
              <w:marRight w:val="0"/>
              <w:marTop w:val="0"/>
              <w:marBottom w:val="0"/>
              <w:divBdr>
                <w:top w:val="none" w:sz="0" w:space="0" w:color="auto"/>
                <w:left w:val="none" w:sz="0" w:space="0" w:color="auto"/>
                <w:bottom w:val="none" w:sz="0" w:space="0" w:color="auto"/>
                <w:right w:val="none" w:sz="0" w:space="0" w:color="auto"/>
              </w:divBdr>
              <w:divsChild>
                <w:div w:id="1888485958">
                  <w:marLeft w:val="0"/>
                  <w:marRight w:val="0"/>
                  <w:marTop w:val="0"/>
                  <w:marBottom w:val="0"/>
                  <w:divBdr>
                    <w:top w:val="none" w:sz="0" w:space="0" w:color="auto"/>
                    <w:left w:val="none" w:sz="0" w:space="0" w:color="auto"/>
                    <w:bottom w:val="none" w:sz="0" w:space="0" w:color="auto"/>
                    <w:right w:val="none" w:sz="0" w:space="0" w:color="auto"/>
                  </w:divBdr>
                  <w:divsChild>
                    <w:div w:id="6430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4BB16E6574D53BAD9245ABAB7C00A"/>
        <w:category>
          <w:name w:val="Üldine"/>
          <w:gallery w:val="placeholder"/>
        </w:category>
        <w:types>
          <w:type w:val="bbPlcHdr"/>
        </w:types>
        <w:behaviors>
          <w:behavior w:val="content"/>
        </w:behaviors>
        <w:guid w:val="{BAE75E98-67F3-42BD-8219-6A4E8B80FF07}"/>
      </w:docPartPr>
      <w:docPartBody>
        <w:p w:rsidR="009D1A95" w:rsidRDefault="009D1A95" w:rsidP="009D1A95">
          <w:pPr>
            <w:pStyle w:val="7734BB16E6574D53BAD9245ABAB7C00A"/>
          </w:pPr>
          <w:r w:rsidRPr="00A348E8">
            <w:rPr>
              <w:rStyle w:val="Kohatitetekst"/>
            </w:rPr>
            <w:t>Wählen Sie ein Element aus.</w:t>
          </w:r>
        </w:p>
      </w:docPartBody>
    </w:docPart>
    <w:docPart>
      <w:docPartPr>
        <w:name w:val="775CC9CCE7C34CB8B3109D1790F44FD9"/>
        <w:category>
          <w:name w:val="Üldine"/>
          <w:gallery w:val="placeholder"/>
        </w:category>
        <w:types>
          <w:type w:val="bbPlcHdr"/>
        </w:types>
        <w:behaviors>
          <w:behavior w:val="content"/>
        </w:behaviors>
        <w:guid w:val="{0C84021E-758B-427D-8AE2-44B35ACB6083}"/>
      </w:docPartPr>
      <w:docPartBody>
        <w:p w:rsidR="009D1A95" w:rsidRDefault="009D1A95" w:rsidP="009D1A95">
          <w:pPr>
            <w:pStyle w:val="775CC9CCE7C34CB8B3109D1790F44FD9"/>
          </w:pPr>
          <w:r w:rsidRPr="00A348E8">
            <w:rPr>
              <w:rStyle w:val="Kohatitetekst"/>
            </w:rPr>
            <w:t>Wählen Sie ein Element aus.</w:t>
          </w:r>
        </w:p>
      </w:docPartBody>
    </w:docPart>
    <w:docPart>
      <w:docPartPr>
        <w:name w:val="6A441BC4AEFA4BA780263FA1AAB91DB6"/>
        <w:category>
          <w:name w:val="Üldine"/>
          <w:gallery w:val="placeholder"/>
        </w:category>
        <w:types>
          <w:type w:val="bbPlcHdr"/>
        </w:types>
        <w:behaviors>
          <w:behavior w:val="content"/>
        </w:behaviors>
        <w:guid w:val="{91FE8BD4-F8A4-4313-AB1B-37759282D6EC}"/>
      </w:docPartPr>
      <w:docPartBody>
        <w:p w:rsidR="009D1A95" w:rsidRDefault="009D1A95" w:rsidP="009D1A95">
          <w:pPr>
            <w:pStyle w:val="6A441BC4AEFA4BA780263FA1AAB91DB6"/>
          </w:pPr>
          <w:r w:rsidRPr="00A348E8">
            <w:rPr>
              <w:rStyle w:val="Kohatitetekst"/>
            </w:rPr>
            <w:t>Wählen Sie ein Element aus.</w:t>
          </w:r>
        </w:p>
      </w:docPartBody>
    </w:docPart>
    <w:docPart>
      <w:docPartPr>
        <w:name w:val="DE3529B7BB4D45C9BF3FF13AE6CF7895"/>
        <w:category>
          <w:name w:val="Üldine"/>
          <w:gallery w:val="placeholder"/>
        </w:category>
        <w:types>
          <w:type w:val="bbPlcHdr"/>
        </w:types>
        <w:behaviors>
          <w:behavior w:val="content"/>
        </w:behaviors>
        <w:guid w:val="{423CE90A-63F9-4433-91A4-11F5ADBAD28B}"/>
      </w:docPartPr>
      <w:docPartBody>
        <w:p w:rsidR="009D1A95" w:rsidRDefault="009D1A95" w:rsidP="009D1A95">
          <w:pPr>
            <w:pStyle w:val="DE3529B7BB4D45C9BF3FF13AE6CF7895"/>
          </w:pPr>
          <w:r w:rsidRPr="00A348E8">
            <w:rPr>
              <w:rStyle w:val="Kohatitetekst"/>
            </w:rPr>
            <w:t>Wählen Sie ein Element aus.</w:t>
          </w:r>
        </w:p>
      </w:docPartBody>
    </w:docPart>
    <w:docPart>
      <w:docPartPr>
        <w:name w:val="18059DCF88F646D18430DE6B9C0F20D5"/>
        <w:category>
          <w:name w:val="Üldine"/>
          <w:gallery w:val="placeholder"/>
        </w:category>
        <w:types>
          <w:type w:val="bbPlcHdr"/>
        </w:types>
        <w:behaviors>
          <w:behavior w:val="content"/>
        </w:behaviors>
        <w:guid w:val="{62D343AA-F64F-4F72-82DD-C12CB7822B16}"/>
      </w:docPartPr>
      <w:docPartBody>
        <w:p w:rsidR="009D1A95" w:rsidRDefault="009D1A95" w:rsidP="009D1A95">
          <w:pPr>
            <w:pStyle w:val="18059DCF88F646D18430DE6B9C0F20D5"/>
          </w:pPr>
          <w:r w:rsidRPr="00A348E8">
            <w:rPr>
              <w:rStyle w:val="Kohatitetekst"/>
            </w:rPr>
            <w:t>Wählen Sie ein Element aus.</w:t>
          </w:r>
        </w:p>
      </w:docPartBody>
    </w:docPart>
    <w:docPart>
      <w:docPartPr>
        <w:name w:val="B303602698A94992AEB2E2C187108D6F"/>
        <w:category>
          <w:name w:val="Üldine"/>
          <w:gallery w:val="placeholder"/>
        </w:category>
        <w:types>
          <w:type w:val="bbPlcHdr"/>
        </w:types>
        <w:behaviors>
          <w:behavior w:val="content"/>
        </w:behaviors>
        <w:guid w:val="{BF52AD83-9C57-41B9-A3D0-2A989F015639}"/>
      </w:docPartPr>
      <w:docPartBody>
        <w:p w:rsidR="009D1A95" w:rsidRDefault="009D1A95" w:rsidP="009D1A95">
          <w:pPr>
            <w:pStyle w:val="B303602698A94992AEB2E2C187108D6F"/>
          </w:pPr>
          <w:r w:rsidRPr="00A348E8">
            <w:rPr>
              <w:rStyle w:val="Kohatitetekst"/>
            </w:rPr>
            <w:t>Wählen Sie ein Element aus.</w:t>
          </w:r>
        </w:p>
      </w:docPartBody>
    </w:docPart>
    <w:docPart>
      <w:docPartPr>
        <w:name w:val="AA2AA6270DFA4071AE06228F0ED08224"/>
        <w:category>
          <w:name w:val="Üldine"/>
          <w:gallery w:val="placeholder"/>
        </w:category>
        <w:types>
          <w:type w:val="bbPlcHdr"/>
        </w:types>
        <w:behaviors>
          <w:behavior w:val="content"/>
        </w:behaviors>
        <w:guid w:val="{F5ACE47D-436D-44BA-9ABB-96447383DDEF}"/>
      </w:docPartPr>
      <w:docPartBody>
        <w:p w:rsidR="009D1A95" w:rsidRDefault="009D1A95" w:rsidP="009D1A95">
          <w:pPr>
            <w:pStyle w:val="AA2AA6270DFA4071AE06228F0ED08224"/>
          </w:pPr>
          <w:r w:rsidRPr="00A348E8">
            <w:rPr>
              <w:rStyle w:val="Kohatitetekst"/>
            </w:rPr>
            <w:t>Wählen Sie ein Element aus.</w:t>
          </w:r>
        </w:p>
      </w:docPartBody>
    </w:docPart>
    <w:docPart>
      <w:docPartPr>
        <w:name w:val="B8B66BB646A942949E44026C40E895C8"/>
        <w:category>
          <w:name w:val="Üldine"/>
          <w:gallery w:val="placeholder"/>
        </w:category>
        <w:types>
          <w:type w:val="bbPlcHdr"/>
        </w:types>
        <w:behaviors>
          <w:behavior w:val="content"/>
        </w:behaviors>
        <w:guid w:val="{C9805118-E550-4264-A778-94120E8659A9}"/>
      </w:docPartPr>
      <w:docPartBody>
        <w:p w:rsidR="009D1A95" w:rsidRDefault="009D1A95" w:rsidP="009D1A95">
          <w:pPr>
            <w:pStyle w:val="B8B66BB646A942949E44026C40E895C8"/>
          </w:pPr>
          <w:r w:rsidRPr="00A348E8">
            <w:rPr>
              <w:rStyle w:val="Kohatitetekst"/>
            </w:rPr>
            <w:t>Wählen Sie ein Element aus.</w:t>
          </w:r>
        </w:p>
      </w:docPartBody>
    </w:docPart>
    <w:docPart>
      <w:docPartPr>
        <w:name w:val="7BCAFFD51EDA4D14931055BF746D3C21"/>
        <w:category>
          <w:name w:val="Üldine"/>
          <w:gallery w:val="placeholder"/>
        </w:category>
        <w:types>
          <w:type w:val="bbPlcHdr"/>
        </w:types>
        <w:behaviors>
          <w:behavior w:val="content"/>
        </w:behaviors>
        <w:guid w:val="{41F86B4D-B455-49F6-BFD4-425046982418}"/>
      </w:docPartPr>
      <w:docPartBody>
        <w:p w:rsidR="009D1A95" w:rsidRDefault="009D1A95" w:rsidP="009D1A95">
          <w:pPr>
            <w:pStyle w:val="7BCAFFD51EDA4D14931055BF746D3C21"/>
          </w:pPr>
          <w:r w:rsidRPr="00051223">
            <w:rPr>
              <w:rStyle w:val="Kohatiteteks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95"/>
    <w:rsid w:val="00242E36"/>
    <w:rsid w:val="009D1A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D1A95"/>
    <w:rPr>
      <w:color w:val="808080"/>
    </w:rPr>
  </w:style>
  <w:style w:type="paragraph" w:customStyle="1" w:styleId="7734BB16E6574D53BAD9245ABAB7C00A">
    <w:name w:val="7734BB16E6574D53BAD9245ABAB7C00A"/>
    <w:rsid w:val="009D1A95"/>
  </w:style>
  <w:style w:type="paragraph" w:customStyle="1" w:styleId="775CC9CCE7C34CB8B3109D1790F44FD9">
    <w:name w:val="775CC9CCE7C34CB8B3109D1790F44FD9"/>
    <w:rsid w:val="009D1A95"/>
  </w:style>
  <w:style w:type="paragraph" w:customStyle="1" w:styleId="6A441BC4AEFA4BA780263FA1AAB91DB6">
    <w:name w:val="6A441BC4AEFA4BA780263FA1AAB91DB6"/>
    <w:rsid w:val="009D1A95"/>
  </w:style>
  <w:style w:type="paragraph" w:customStyle="1" w:styleId="DE3529B7BB4D45C9BF3FF13AE6CF7895">
    <w:name w:val="DE3529B7BB4D45C9BF3FF13AE6CF7895"/>
    <w:rsid w:val="009D1A95"/>
  </w:style>
  <w:style w:type="paragraph" w:customStyle="1" w:styleId="18059DCF88F646D18430DE6B9C0F20D5">
    <w:name w:val="18059DCF88F646D18430DE6B9C0F20D5"/>
    <w:rsid w:val="009D1A95"/>
  </w:style>
  <w:style w:type="paragraph" w:customStyle="1" w:styleId="B303602698A94992AEB2E2C187108D6F">
    <w:name w:val="B303602698A94992AEB2E2C187108D6F"/>
    <w:rsid w:val="009D1A95"/>
  </w:style>
  <w:style w:type="paragraph" w:customStyle="1" w:styleId="AA2AA6270DFA4071AE06228F0ED08224">
    <w:name w:val="AA2AA6270DFA4071AE06228F0ED08224"/>
    <w:rsid w:val="009D1A95"/>
  </w:style>
  <w:style w:type="paragraph" w:customStyle="1" w:styleId="B8B66BB646A942949E44026C40E895C8">
    <w:name w:val="B8B66BB646A942949E44026C40E895C8"/>
    <w:rsid w:val="009D1A95"/>
  </w:style>
  <w:style w:type="paragraph" w:customStyle="1" w:styleId="7BCAFFD51EDA4D14931055BF746D3C21">
    <w:name w:val="7BCAFFD51EDA4D14931055BF746D3C21"/>
    <w:rsid w:val="009D1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664</Words>
  <Characters>3856</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Gnezdovski</dc:creator>
  <cp:keywords/>
  <dc:description/>
  <cp:lastModifiedBy>Olga Gnezdovski</cp:lastModifiedBy>
  <cp:revision>1</cp:revision>
  <dcterms:created xsi:type="dcterms:W3CDTF">2025-02-04T08:55:00Z</dcterms:created>
  <dcterms:modified xsi:type="dcterms:W3CDTF">2025-02-04T10:04:00Z</dcterms:modified>
</cp:coreProperties>
</file>